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rFonts w:eastAsia="Times New Roman"/>
          <w:b/>
          <w:sz w:val="24"/>
          <w:lang w:eastAsia="zh-CN"/>
        </w:rPr>
      </w:pPr>
      <w:bookmarkStart w:id="0" w:name="_Toc193024528"/>
      <w:r>
        <w:rPr>
          <w:rFonts w:eastAsia="Times New Roman"/>
          <w:b/>
          <w:sz w:val="24"/>
          <w:lang w:eastAsia="zh-CN"/>
        </w:rPr>
        <w:t>3GPP TSG-RAN WG</w:t>
      </w:r>
      <w:r>
        <w:rPr>
          <w:rFonts w:hint="eastAsia" w:eastAsia="Times New Roman"/>
          <w:b/>
          <w:sz w:val="24"/>
          <w:lang w:eastAsia="zh-CN"/>
        </w:rPr>
        <w:t>2</w:t>
      </w:r>
      <w:r>
        <w:rPr>
          <w:rFonts w:eastAsia="Times New Roman"/>
          <w:b/>
          <w:sz w:val="24"/>
          <w:lang w:eastAsia="zh-CN"/>
        </w:rPr>
        <w:t xml:space="preserve"> #10</w:t>
      </w:r>
      <w:r>
        <w:rPr>
          <w:rFonts w:hint="eastAsia" w:eastAsia="Times New Roman"/>
          <w:b/>
          <w:sz w:val="24"/>
          <w:lang w:eastAsia="zh-CN"/>
        </w:rPr>
        <w:t>7</w:t>
      </w:r>
      <w:r>
        <w:rPr>
          <w:rFonts w:eastAsia="Times New Roman"/>
          <w:b/>
          <w:sz w:val="24"/>
          <w:lang w:eastAsia="zh-CN"/>
        </w:rPr>
        <w:tab/>
      </w:r>
      <w:r>
        <w:rPr>
          <w:rFonts w:eastAsia="Times New Roman"/>
          <w:b/>
          <w:sz w:val="24"/>
          <w:lang w:eastAsia="zh-CN"/>
        </w:rPr>
        <w:t>R2-1909470</w:t>
      </w:r>
    </w:p>
    <w:p>
      <w:pPr>
        <w:rPr>
          <w:rFonts w:ascii="Arial" w:hAnsi="Arial" w:cs="Arial"/>
          <w:b/>
          <w:sz w:val="22"/>
          <w:szCs w:val="24"/>
          <w:lang w:val="en-US" w:eastAsia="zh-CN"/>
        </w:rPr>
      </w:pPr>
      <w:r>
        <w:rPr>
          <w:rFonts w:ascii="Arial" w:hAnsi="Arial" w:eastAsia="Times New Roman"/>
          <w:b/>
          <w:sz w:val="24"/>
          <w:lang w:eastAsia="zh-CN"/>
        </w:rPr>
        <w:t>Prague, Czech Republic,</w:t>
      </w:r>
      <w:r>
        <w:rPr>
          <w:rFonts w:hint="eastAsia" w:asciiTheme="minorEastAsia" w:hAnsiTheme="minorEastAsia" w:eastAsiaTheme="minorEastAsia"/>
          <w:b/>
          <w:sz w:val="24"/>
          <w:lang w:eastAsia="zh-CN"/>
        </w:rPr>
        <w:t xml:space="preserve"> </w:t>
      </w:r>
      <w:r>
        <w:rPr>
          <w:rFonts w:ascii="Arial" w:hAnsi="Arial" w:eastAsia="Times New Roman"/>
          <w:b/>
          <w:sz w:val="24"/>
          <w:lang w:eastAsia="zh-CN"/>
        </w:rPr>
        <w:t>26th - 30th August 2019</w:t>
      </w:r>
    </w:p>
    <w:p>
      <w:pPr>
        <w:pStyle w:val="149"/>
        <w:spacing w:line="276" w:lineRule="auto"/>
        <w:rPr>
          <w:rFonts w:eastAsiaTheme="minorEastAsia"/>
        </w:rPr>
      </w:pPr>
      <w:r>
        <w:t>Agenda Item:</w:t>
      </w:r>
      <w:r>
        <w:tab/>
      </w:r>
      <w:r>
        <w:t>1</w:t>
      </w:r>
      <w:r>
        <w:rPr>
          <w:rFonts w:hint="eastAsia" w:eastAsiaTheme="minorEastAsia"/>
        </w:rPr>
        <w:t>1.18</w:t>
      </w:r>
    </w:p>
    <w:p>
      <w:pPr>
        <w:pStyle w:val="149"/>
        <w:tabs>
          <w:tab w:val="left" w:pos="4196"/>
          <w:tab w:val="clear" w:pos="9639"/>
        </w:tabs>
        <w:spacing w:line="276" w:lineRule="auto"/>
      </w:pPr>
      <w:r>
        <w:t xml:space="preserve">Source: </w:t>
      </w:r>
      <w:r>
        <w:tab/>
      </w:r>
      <w:r>
        <w:rPr>
          <w:rFonts w:hint="eastAsia"/>
        </w:rPr>
        <w:t>CMCC</w:t>
      </w:r>
    </w:p>
    <w:p>
      <w:pPr>
        <w:pStyle w:val="149"/>
        <w:spacing w:line="276" w:lineRule="auto"/>
        <w:rPr>
          <w:rFonts w:eastAsiaTheme="minorEastAsia"/>
        </w:rPr>
      </w:pPr>
      <w:r>
        <w:t xml:space="preserve">Title:  </w:t>
      </w:r>
      <w:r>
        <w:tab/>
      </w:r>
      <w:r>
        <w:rPr>
          <w:rFonts w:eastAsiaTheme="minorEastAsia"/>
        </w:rPr>
        <w:t>C</w:t>
      </w:r>
      <w:r>
        <w:rPr>
          <w:rFonts w:hint="eastAsia" w:eastAsiaTheme="minorEastAsia"/>
        </w:rPr>
        <w:t xml:space="preserve">onsideration </w:t>
      </w:r>
      <w:r>
        <w:rPr>
          <w:rFonts w:eastAsiaTheme="minorEastAsia"/>
        </w:rPr>
        <w:t xml:space="preserve">on </w:t>
      </w:r>
      <w:r>
        <w:rPr>
          <w:rFonts w:hint="eastAsia"/>
          <w:lang w:val="en-US"/>
        </w:rPr>
        <w:t>standalone</w:t>
      </w:r>
      <w:r>
        <w:rPr>
          <w:rFonts w:hint="eastAsia" w:eastAsiaTheme="minorEastAsia"/>
        </w:rPr>
        <w:t xml:space="preserve"> NPN</w:t>
      </w:r>
    </w:p>
    <w:p>
      <w:pPr>
        <w:pStyle w:val="149"/>
        <w:spacing w:line="276" w:lineRule="auto"/>
      </w:pPr>
      <w:r>
        <w:t>Document for:</w:t>
      </w:r>
      <w:r>
        <w:tab/>
      </w:r>
      <w:r>
        <w:t>Discussion and Decision</w:t>
      </w:r>
    </w:p>
    <w:p>
      <w:pPr>
        <w:pStyle w:val="2"/>
        <w:spacing w:line="276" w:lineRule="auto"/>
        <w:jc w:val="both"/>
        <w:rPr>
          <w:lang w:eastAsia="zh-CN"/>
        </w:rPr>
      </w:pPr>
      <w:r>
        <w:rPr>
          <w:lang w:eastAsia="zh-CN"/>
        </w:rPr>
        <w:t>Introduction</w:t>
      </w:r>
    </w:p>
    <w:p>
      <w:pPr>
        <w:jc w:val="both"/>
        <w:rPr>
          <w:lang w:eastAsia="zh-CN"/>
        </w:rPr>
      </w:pPr>
      <w:r>
        <w:rPr>
          <w:rFonts w:hint="eastAsia"/>
          <w:lang w:eastAsia="zh-CN"/>
        </w:rPr>
        <w:t xml:space="preserve">The 5G network is deployed in the industrial </w:t>
      </w:r>
      <w:r>
        <w:rPr>
          <w:lang w:eastAsia="zh-CN"/>
        </w:rPr>
        <w:t>automation</w:t>
      </w:r>
      <w:r>
        <w:rPr>
          <w:rFonts w:hint="eastAsia"/>
          <w:lang w:eastAsia="zh-CN"/>
        </w:rPr>
        <w:t xml:space="preserve"> to satisfy the communication </w:t>
      </w:r>
      <w:r>
        <w:rPr>
          <w:lang w:eastAsia="zh-CN"/>
        </w:rPr>
        <w:t>requirement</w:t>
      </w:r>
      <w:r>
        <w:rPr>
          <w:rFonts w:hint="eastAsia"/>
          <w:lang w:eastAsia="zh-CN"/>
        </w:rPr>
        <w:t xml:space="preserve">s between massive machines and sensors. In some use case, the services provided by 5G </w:t>
      </w:r>
      <w:r>
        <w:rPr>
          <w:lang w:eastAsia="zh-CN"/>
        </w:rPr>
        <w:t>networks</w:t>
      </w:r>
      <w:r>
        <w:rPr>
          <w:rFonts w:hint="eastAsia"/>
          <w:lang w:eastAsia="zh-CN"/>
        </w:rPr>
        <w:t xml:space="preserve"> shall be restricted in </w:t>
      </w:r>
      <w:r>
        <w:rPr>
          <w:lang w:eastAsia="zh-CN"/>
        </w:rPr>
        <w:t>specific geographical area</w:t>
      </w:r>
      <w:r>
        <w:rPr>
          <w:rFonts w:hint="eastAsia"/>
          <w:lang w:eastAsia="zh-CN"/>
        </w:rPr>
        <w:t xml:space="preserve"> and accessed by group of </w:t>
      </w:r>
      <w:r>
        <w:rPr>
          <w:lang w:eastAsia="zh-CN"/>
        </w:rPr>
        <w:t>specific UEs</w:t>
      </w:r>
      <w:r>
        <w:rPr>
          <w:rFonts w:hint="eastAsia"/>
          <w:lang w:eastAsia="zh-CN"/>
        </w:rPr>
        <w:t xml:space="preserve">. </w:t>
      </w:r>
      <w:r>
        <w:rPr>
          <w:lang w:eastAsia="zh-CN"/>
        </w:rPr>
        <w:t>T</w:t>
      </w:r>
      <w:r>
        <w:rPr>
          <w:rFonts w:hint="eastAsia"/>
          <w:lang w:eastAsia="zh-CN"/>
        </w:rPr>
        <w:t xml:space="preserve">hus, the non-public network could be adopted as one </w:t>
      </w:r>
      <w:r>
        <w:rPr>
          <w:lang w:eastAsia="zh-CN"/>
        </w:rPr>
        <w:t>network integration</w:t>
      </w:r>
      <w:r>
        <w:rPr>
          <w:rFonts w:hint="eastAsia"/>
          <w:lang w:eastAsia="zh-CN"/>
        </w:rPr>
        <w:t xml:space="preserve"> and </w:t>
      </w:r>
      <w:r>
        <w:rPr>
          <w:lang w:eastAsia="zh-CN"/>
        </w:rPr>
        <w:t>construction</w:t>
      </w:r>
      <w:r>
        <w:rPr>
          <w:rFonts w:hint="eastAsia"/>
          <w:lang w:eastAsia="zh-CN"/>
        </w:rPr>
        <w:t xml:space="preserve"> solution for </w:t>
      </w:r>
      <w:r>
        <w:rPr>
          <w:lang w:eastAsia="zh-CN"/>
        </w:rPr>
        <w:t xml:space="preserve">industrial enterprises, covering from a small local </w:t>
      </w:r>
      <w:r>
        <w:rPr>
          <w:rFonts w:hint="eastAsia"/>
          <w:lang w:eastAsia="zh-CN"/>
        </w:rPr>
        <w:t xml:space="preserve">area </w:t>
      </w:r>
      <w:r>
        <w:rPr>
          <w:lang w:eastAsia="zh-CN"/>
        </w:rPr>
        <w:t>to large-scale regional</w:t>
      </w:r>
      <w:r>
        <w:rPr>
          <w:rFonts w:hint="eastAsia"/>
          <w:lang w:eastAsia="zh-CN"/>
        </w:rPr>
        <w:t xml:space="preserve"> area</w:t>
      </w:r>
      <w:r>
        <w:rPr>
          <w:lang w:eastAsia="zh-CN"/>
        </w:rPr>
        <w:t>.</w:t>
      </w:r>
    </w:p>
    <w:p>
      <w:pPr>
        <w:jc w:val="both"/>
        <w:rPr>
          <w:lang w:eastAsia="zh-CN"/>
        </w:rPr>
      </w:pPr>
      <w:r>
        <w:rPr>
          <w:lang w:eastAsia="zh-CN"/>
        </w:rPr>
        <w:t>I</w:t>
      </w:r>
      <w:r>
        <w:rPr>
          <w:rFonts w:hint="eastAsia"/>
          <w:lang w:eastAsia="zh-CN"/>
        </w:rPr>
        <w:t>n the TSG RAN meeting #83, the objective of new work item on private network support for NG-RAN is agreed as below:</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overflowPunct w:val="0"/>
              <w:autoSpaceDE w:val="0"/>
              <w:autoSpaceDN w:val="0"/>
              <w:adjustRightInd w:val="0"/>
              <w:spacing w:after="0"/>
              <w:jc w:val="both"/>
              <w:textAlignment w:val="baseline"/>
              <w:rPr>
                <w:rFonts w:ascii="Times New Roman" w:hAnsi="Times New Roman" w:eastAsiaTheme="minorEastAsia"/>
                <w:b/>
                <w:u w:val="single"/>
                <w:lang w:val="en-US" w:eastAsia="zh-CN"/>
              </w:rPr>
            </w:pPr>
            <w:r>
              <w:rPr>
                <w:rFonts w:hint="eastAsia" w:ascii="Times New Roman" w:hAnsi="Times New Roman" w:eastAsiaTheme="minorEastAsia"/>
                <w:b/>
                <w:u w:val="single"/>
                <w:lang w:val="en-US" w:eastAsia="zh-CN"/>
              </w:rPr>
              <w:t>Objective of WI for RAN2</w:t>
            </w:r>
            <w:r>
              <w:rPr>
                <w:rFonts w:hint="eastAsia" w:ascii="Times New Roman" w:hAnsi="Times New Roman" w:eastAsia="MS Mincho"/>
                <w:b/>
                <w:u w:val="single"/>
                <w:lang w:val="en-US" w:eastAsia="ja-JP"/>
              </w:rPr>
              <w:t>:</w:t>
            </w:r>
          </w:p>
          <w:p>
            <w:pPr>
              <w:overflowPunct w:val="0"/>
              <w:autoSpaceDE w:val="0"/>
              <w:autoSpaceDN w:val="0"/>
              <w:adjustRightInd w:val="0"/>
              <w:spacing w:after="0"/>
              <w:jc w:val="both"/>
              <w:textAlignment w:val="baseline"/>
              <w:rPr>
                <w:rFonts w:ascii="Times New Roman" w:hAnsi="Times New Roman" w:eastAsiaTheme="minorEastAsia"/>
                <w:b/>
                <w:u w:val="single"/>
                <w:lang w:val="en-US" w:eastAsia="zh-CN"/>
              </w:rPr>
            </w:pPr>
          </w:p>
          <w:p>
            <w:pPr>
              <w:numPr>
                <w:ilvl w:val="0"/>
                <w:numId w:val="13"/>
              </w:numPr>
              <w:overflowPunct w:val="0"/>
              <w:autoSpaceDE w:val="0"/>
              <w:autoSpaceDN w:val="0"/>
              <w:adjustRightInd w:val="0"/>
              <w:ind w:right="-99"/>
              <w:textAlignment w:val="baseline"/>
              <w:rPr>
                <w:rFonts w:ascii="Times New Roman" w:hAnsi="Times New Roman" w:eastAsiaTheme="minorEastAsia"/>
                <w:lang w:val="en-US" w:eastAsia="zh-CN"/>
              </w:rPr>
            </w:pPr>
            <w:r>
              <w:rPr>
                <w:rFonts w:ascii="Times New Roman" w:hAnsi="Times New Roman" w:eastAsiaTheme="minorEastAsia"/>
                <w:lang w:val="en-US" w:eastAsia="zh-CN"/>
              </w:rPr>
              <w:t>Support NPN functionality in NG-RAN:</w:t>
            </w:r>
          </w:p>
          <w:p>
            <w:pPr>
              <w:numPr>
                <w:ilvl w:val="1"/>
                <w:numId w:val="14"/>
              </w:numPr>
              <w:overflowPunct w:val="0"/>
              <w:autoSpaceDE w:val="0"/>
              <w:autoSpaceDN w:val="0"/>
              <w:adjustRightInd w:val="0"/>
              <w:ind w:right="-99"/>
              <w:textAlignment w:val="baseline"/>
              <w:rPr>
                <w:rFonts w:ascii="Times New Roman" w:hAnsi="Times New Roman" w:eastAsiaTheme="minorEastAsia"/>
                <w:lang w:val="en-US" w:eastAsia="zh-CN"/>
              </w:rPr>
            </w:pPr>
            <w:r>
              <w:rPr>
                <w:rFonts w:ascii="Times New Roman" w:hAnsi="Times New Roman" w:eastAsiaTheme="minorEastAsia"/>
                <w:lang w:val="en-US" w:eastAsia="zh-CN"/>
              </w:rPr>
              <w:t>CAG/SNPN relevant parameter broadcast from SIB</w:t>
            </w:r>
            <w:r>
              <w:rPr>
                <w:rFonts w:hint="eastAsia" w:ascii="Times New Roman" w:hAnsi="Times New Roman" w:eastAsiaTheme="minorEastAsia"/>
                <w:lang w:val="en-US" w:eastAsia="zh-CN"/>
              </w:rPr>
              <w:t xml:space="preserve"> </w:t>
            </w:r>
            <w:r>
              <w:rPr>
                <w:rFonts w:ascii="Times New Roman" w:hAnsi="Times New Roman" w:eastAsiaTheme="minorEastAsia"/>
                <w:lang w:val="en-US" w:eastAsia="zh-CN"/>
              </w:rPr>
              <w:t>[RAN2]</w:t>
            </w:r>
          </w:p>
          <w:p>
            <w:pPr>
              <w:numPr>
                <w:ilvl w:val="1"/>
                <w:numId w:val="14"/>
              </w:numPr>
              <w:overflowPunct w:val="0"/>
              <w:autoSpaceDE w:val="0"/>
              <w:autoSpaceDN w:val="0"/>
              <w:adjustRightInd w:val="0"/>
              <w:ind w:right="-99"/>
              <w:textAlignment w:val="baseline"/>
              <w:rPr>
                <w:rFonts w:ascii="Times New Roman" w:hAnsi="Times New Roman" w:eastAsiaTheme="minorEastAsia"/>
                <w:lang w:val="en-US" w:eastAsia="zh-CN"/>
              </w:rPr>
            </w:pPr>
            <w:r>
              <w:rPr>
                <w:rFonts w:hint="eastAsia" w:ascii="Times New Roman" w:hAnsi="Times New Roman" w:eastAsiaTheme="minorEastAsia"/>
                <w:lang w:val="en-US" w:eastAsia="zh-CN"/>
              </w:rPr>
              <w:t>CAG/SNPN cell selection/reselection [RAN2]</w:t>
            </w:r>
          </w:p>
          <w:p>
            <w:pPr>
              <w:numPr>
                <w:ilvl w:val="1"/>
                <w:numId w:val="14"/>
              </w:numPr>
              <w:overflowPunct w:val="0"/>
              <w:autoSpaceDE w:val="0"/>
              <w:autoSpaceDN w:val="0"/>
              <w:adjustRightInd w:val="0"/>
              <w:ind w:right="-99"/>
              <w:textAlignment w:val="baseline"/>
              <w:rPr>
                <w:rFonts w:ascii="Times New Roman" w:hAnsi="Times New Roman" w:eastAsiaTheme="minorEastAsia"/>
                <w:lang w:val="en-US" w:eastAsia="zh-CN"/>
              </w:rPr>
            </w:pPr>
            <w:r>
              <w:rPr>
                <w:rFonts w:hint="eastAsia" w:ascii="Times New Roman" w:hAnsi="Times New Roman" w:eastAsiaTheme="minorEastAsia"/>
                <w:lang w:val="en-US" w:eastAsia="zh-CN"/>
              </w:rPr>
              <w:t>CAG/SNPN cell access control [RAN2/3]</w:t>
            </w:r>
          </w:p>
          <w:p>
            <w:pPr>
              <w:numPr>
                <w:ilvl w:val="1"/>
                <w:numId w:val="14"/>
              </w:numPr>
              <w:overflowPunct w:val="0"/>
              <w:autoSpaceDE w:val="0"/>
              <w:autoSpaceDN w:val="0"/>
              <w:adjustRightInd w:val="0"/>
              <w:ind w:right="-99"/>
              <w:textAlignment w:val="baseline"/>
              <w:rPr>
                <w:rFonts w:ascii="Times New Roman" w:hAnsi="Times New Roman" w:eastAsiaTheme="minorEastAsia"/>
                <w:lang w:val="en-US" w:eastAsia="zh-CN"/>
              </w:rPr>
            </w:pPr>
            <w:r>
              <w:rPr>
                <w:rFonts w:hint="eastAsia" w:ascii="Times New Roman" w:hAnsi="Times New Roman" w:eastAsiaTheme="minorEastAsia"/>
                <w:lang w:val="en-US" w:eastAsia="zh-CN"/>
              </w:rPr>
              <w:t>For CAG, in the case of Intra-RAT intra-system and inter-RAT intra-system, the connected mode mobility support [RAN2/3]</w:t>
            </w:r>
          </w:p>
          <w:p>
            <w:pPr>
              <w:numPr>
                <w:ilvl w:val="1"/>
                <w:numId w:val="14"/>
              </w:numPr>
              <w:overflowPunct w:val="0"/>
              <w:autoSpaceDE w:val="0"/>
              <w:autoSpaceDN w:val="0"/>
              <w:adjustRightInd w:val="0"/>
              <w:ind w:right="-99"/>
              <w:textAlignment w:val="baseline"/>
              <w:rPr>
                <w:rFonts w:ascii="Times New Roman" w:hAnsi="Times New Roman" w:eastAsiaTheme="minorEastAsia"/>
                <w:lang w:val="en-US" w:eastAsia="zh-CN"/>
              </w:rPr>
            </w:pPr>
            <w:r>
              <w:rPr>
                <w:rFonts w:hint="eastAsia" w:ascii="Times New Roman" w:hAnsi="Times New Roman" w:eastAsiaTheme="minorEastAsia"/>
                <w:lang w:val="en-US" w:eastAsia="zh-CN"/>
              </w:rPr>
              <w:t>The connected mode mobility support within SNPN [RAN2/3]</w:t>
            </w:r>
          </w:p>
        </w:tc>
      </w:tr>
    </w:tbl>
    <w:p>
      <w:pPr>
        <w:spacing w:before="120"/>
        <w:jc w:val="both"/>
        <w:rPr>
          <w:lang w:eastAsia="zh-CN"/>
        </w:rPr>
      </w:pPr>
      <w:r>
        <w:rPr>
          <w:lang w:eastAsia="zh-CN"/>
        </w:rPr>
        <w:t>I</w:t>
      </w:r>
      <w:r>
        <w:rPr>
          <w:rFonts w:hint="eastAsia"/>
          <w:lang w:eastAsia="zh-CN"/>
        </w:rPr>
        <w:t xml:space="preserve">n this contribution, we would like to discuss the consideration for supporting the standalone non-public network. </w:t>
      </w:r>
    </w:p>
    <w:p>
      <w:pPr>
        <w:pStyle w:val="2"/>
        <w:spacing w:line="276" w:lineRule="auto"/>
        <w:jc w:val="both"/>
        <w:rPr>
          <w:lang w:eastAsia="zh-CN"/>
        </w:rPr>
      </w:pPr>
      <w:r>
        <w:rPr>
          <w:rFonts w:hint="eastAsia"/>
          <w:lang w:eastAsia="zh-CN"/>
        </w:rPr>
        <w:t>Discussion</w:t>
      </w:r>
    </w:p>
    <w:p>
      <w:pPr>
        <w:pStyle w:val="3"/>
        <w:numPr>
          <w:numId w:val="0"/>
        </w:numPr>
        <w:ind w:right="200" w:rightChars="100"/>
        <w:rPr>
          <w:lang w:val="en-US" w:eastAsia="zh-CN"/>
        </w:rPr>
      </w:pPr>
      <w:r>
        <w:rPr>
          <w:rFonts w:hint="default"/>
          <w:lang w:val="en-US" w:eastAsia="zh-CN"/>
        </w:rPr>
        <w:t xml:space="preserve">2.1 </w:t>
      </w:r>
      <w:r>
        <w:rPr>
          <w:lang w:val="en-US" w:eastAsia="zh-CN"/>
        </w:rPr>
        <w:t>Broadcast system information</w:t>
      </w:r>
    </w:p>
    <w:p>
      <w:pPr>
        <w:jc w:val="both"/>
        <w:rPr>
          <w:b/>
          <w:lang w:eastAsia="zh-CN"/>
        </w:rPr>
      </w:pPr>
      <w:r>
        <w:rPr>
          <w:rFonts w:hint="eastAsia"/>
          <w:lang w:val="en-US" w:eastAsia="zh-CN"/>
        </w:rPr>
        <w:t xml:space="preserve">The solution #1 named as standalone non-public network (SNPN) [1] does not rely on any PLMN networks and deployed as completely standalone network or only RAN sharing with other networks. The operators identifies the SNPN by the Non-public network ID (NPN-ID), which is served as PLMN ID in PLMN network, and optionally a human-readable network name per SNPN for manual network selection. As defined in [2], NPN-ID is comprised of PLMN ID (MCC, MNC) and network ID (NID). </w:t>
      </w:r>
      <w:r>
        <w:rPr>
          <w:lang w:val="en-US" w:eastAsia="zh-CN"/>
        </w:rPr>
        <w:t>I</w:t>
      </w:r>
      <w:r>
        <w:rPr>
          <w:rFonts w:hint="eastAsia"/>
          <w:lang w:val="en-US" w:eastAsia="zh-CN"/>
        </w:rPr>
        <w:t xml:space="preserve">n the scenario of RAN sharing with several SNPNs, </w:t>
      </w:r>
      <w:r>
        <w:rPr>
          <w:lang w:val="en-US" w:eastAsia="zh-CN"/>
        </w:rPr>
        <w:t>multiple</w:t>
      </w:r>
      <w:r>
        <w:rPr>
          <w:rFonts w:hint="eastAsia"/>
          <w:lang w:val="en-US" w:eastAsia="zh-CN"/>
        </w:rPr>
        <w:t xml:space="preserve"> PLMN IDs or multiple NIDs associated with a PLMN ID could be configured per cell.</w:t>
      </w:r>
      <w:r>
        <w:rPr>
          <w:lang w:val="en-US" w:eastAsia="zh-CN"/>
        </w:rPr>
        <w:t xml:space="preserve"> I</w:t>
      </w:r>
      <w:r>
        <w:rPr>
          <w:rFonts w:hint="eastAsia"/>
          <w:lang w:val="en-US" w:eastAsia="zh-CN"/>
        </w:rPr>
        <w:t xml:space="preserve">t is essential that the available PLMN IDs and the list of NIDs per PLMN ID </w:t>
      </w:r>
      <w:r>
        <w:rPr>
          <w:lang w:val="en-US" w:eastAsia="zh-CN"/>
        </w:rPr>
        <w:t>should</w:t>
      </w:r>
      <w:r>
        <w:rPr>
          <w:rFonts w:hint="eastAsia"/>
          <w:lang w:val="en-US" w:eastAsia="zh-CN"/>
        </w:rPr>
        <w:t xml:space="preserve"> be broadcasted in SIB1. </w:t>
      </w:r>
    </w:p>
    <w:p>
      <w:pPr>
        <w:jc w:val="both"/>
        <w:rPr>
          <w:b/>
          <w:lang w:eastAsia="zh-CN"/>
        </w:rPr>
      </w:pPr>
      <w:r>
        <w:rPr>
          <w:b/>
          <w:lang w:eastAsia="zh-CN"/>
        </w:rPr>
        <w:t>Observation 1: In the case of sharing RAN in several SNPNs</w:t>
      </w:r>
      <w:r>
        <w:rPr>
          <w:rFonts w:hint="eastAsia"/>
          <w:b/>
          <w:lang w:eastAsia="zh-CN"/>
        </w:rPr>
        <w:t xml:space="preserve">, </w:t>
      </w:r>
      <w:r>
        <w:rPr>
          <w:b/>
          <w:lang w:eastAsia="zh-CN"/>
        </w:rPr>
        <w:t>multiple</w:t>
      </w:r>
      <w:r>
        <w:rPr>
          <w:rFonts w:hint="eastAsia"/>
          <w:b/>
          <w:lang w:eastAsia="zh-CN"/>
        </w:rPr>
        <w:t xml:space="preserve"> PLMN IDs or multiple NIDs associated with a PLMN ID could be configured per cell.</w:t>
      </w:r>
      <w:r>
        <w:rPr>
          <w:b/>
          <w:lang w:eastAsia="zh-CN"/>
        </w:rPr>
        <w:t xml:space="preserve"> I</w:t>
      </w:r>
      <w:r>
        <w:rPr>
          <w:rFonts w:hint="eastAsia"/>
          <w:b/>
          <w:lang w:eastAsia="zh-CN"/>
        </w:rPr>
        <w:t xml:space="preserve">t is essential that the available PLMN IDs and the list of NIDs per PLMN ID </w:t>
      </w:r>
      <w:r>
        <w:rPr>
          <w:b/>
          <w:lang w:eastAsia="zh-CN"/>
        </w:rPr>
        <w:t>should</w:t>
      </w:r>
      <w:r>
        <w:rPr>
          <w:rFonts w:hint="eastAsia"/>
          <w:b/>
          <w:lang w:eastAsia="zh-CN"/>
        </w:rPr>
        <w:t xml:space="preserve"> be broadcasted in SIB1.</w:t>
      </w:r>
    </w:p>
    <w:p>
      <w:pPr>
        <w:rPr>
          <w:lang w:eastAsia="zh-CN"/>
        </w:rPr>
      </w:pPr>
      <w:r>
        <w:rPr>
          <w:lang w:val="en-US" w:eastAsia="zh-CN"/>
        </w:rPr>
        <w:t>I</w:t>
      </w:r>
      <w:r>
        <w:rPr>
          <w:rFonts w:hint="eastAsia"/>
          <w:lang w:val="en-US" w:eastAsia="zh-CN"/>
        </w:rPr>
        <w:t xml:space="preserve">n the scenario of completely standalone SNPN </w:t>
      </w:r>
      <w:r>
        <w:rPr>
          <w:lang w:val="en-US" w:eastAsia="zh-CN"/>
        </w:rPr>
        <w:t>without RAN sharing</w:t>
      </w:r>
      <w:r>
        <w:rPr>
          <w:rFonts w:hint="eastAsia"/>
          <w:lang w:val="en-US" w:eastAsia="zh-CN"/>
        </w:rPr>
        <w:t xml:space="preserve">, </w:t>
      </w:r>
      <w:r>
        <w:rPr>
          <w:rFonts w:hint="eastAsia"/>
          <w:lang w:eastAsia="zh-CN"/>
        </w:rPr>
        <w:t xml:space="preserve">the PLMN ID in SNPN could be configured to public PLMN or PLMN ID reserved for private network, e.g. MCC=999 assigned by ITU. </w:t>
      </w:r>
    </w:p>
    <w:p>
      <w:pPr>
        <w:pStyle w:val="121"/>
        <w:numPr>
          <w:ilvl w:val="0"/>
          <w:numId w:val="15"/>
        </w:numPr>
        <w:rPr>
          <w:lang w:eastAsia="zh-CN"/>
        </w:rPr>
      </w:pPr>
      <w:r>
        <w:rPr>
          <w:rFonts w:ascii="Times New Roman" w:hAnsi="Times New Roman"/>
          <w:sz w:val="20"/>
          <w:szCs w:val="20"/>
          <w:lang w:eastAsia="zh-CN"/>
        </w:rPr>
        <w:t xml:space="preserve">If the NPN-ID is comprised of MCC=999, MNC and NID, no further information is needed to be broadcasted to keep the non-SNPN UE away. Since the MCC=999 is dedicated for private network [1], the non-SNPN UE will notice this information and not try to perform the network access. </w:t>
      </w:r>
    </w:p>
    <w:p>
      <w:pPr>
        <w:pStyle w:val="121"/>
        <w:numPr>
          <w:ilvl w:val="0"/>
          <w:numId w:val="15"/>
        </w:numPr>
        <w:rPr>
          <w:lang w:eastAsia="zh-CN"/>
        </w:rPr>
      </w:pPr>
      <w:r>
        <w:rPr>
          <w:rFonts w:ascii="Times New Roman" w:hAnsi="Times New Roman"/>
          <w:sz w:val="20"/>
          <w:szCs w:val="20"/>
          <w:lang w:eastAsia="zh-CN"/>
        </w:rPr>
        <w:t xml:space="preserve">If the NPN-ID is the combination of public PLMN and NID, one key issue for non-public network is to prevent the UE not supporting the SNPN or not working in the SNPN access mode from attempting to access SNPN cells. </w:t>
      </w:r>
    </w:p>
    <w:p>
      <w:pPr>
        <w:rPr>
          <w:lang w:eastAsia="zh-CN"/>
        </w:rPr>
      </w:pPr>
      <w:r>
        <w:rPr>
          <w:lang w:eastAsia="zh-CN"/>
        </w:rPr>
        <w:t>T</w:t>
      </w:r>
      <w:r>
        <w:rPr>
          <w:rFonts w:hint="eastAsia"/>
          <w:lang w:eastAsia="zh-CN"/>
        </w:rPr>
        <w:t xml:space="preserve">he parameter </w:t>
      </w:r>
      <w:r>
        <w:rPr>
          <w:rFonts w:hint="eastAsia"/>
          <w:b/>
          <w:lang w:eastAsia="zh-CN"/>
        </w:rPr>
        <w:t>cellReservedForOtherUse</w:t>
      </w:r>
      <w:r>
        <w:rPr>
          <w:rFonts w:hint="eastAsia"/>
          <w:lang w:eastAsia="zh-CN"/>
        </w:rPr>
        <w:t xml:space="preserve"> defined in [3] with </w:t>
      </w:r>
      <w:r>
        <w:rPr>
          <w:lang w:eastAsia="zh-CN"/>
        </w:rPr>
        <w:t>“</w:t>
      </w:r>
      <w:r>
        <w:rPr>
          <w:rFonts w:hint="eastAsia"/>
          <w:lang w:eastAsia="zh-CN"/>
        </w:rPr>
        <w:t>true</w:t>
      </w:r>
      <w:r>
        <w:rPr>
          <w:lang w:eastAsia="zh-CN"/>
        </w:rPr>
        <w:t>”</w:t>
      </w:r>
      <w:r>
        <w:rPr>
          <w:rFonts w:hint="eastAsia"/>
          <w:lang w:eastAsia="zh-CN"/>
        </w:rPr>
        <w:t xml:space="preserve"> setting is one solution discussed for this issue. </w:t>
      </w:r>
      <w:r>
        <w:rPr>
          <w:lang w:eastAsia="zh-CN"/>
        </w:rPr>
        <w:t>I</w:t>
      </w:r>
      <w:r>
        <w:rPr>
          <w:rFonts w:hint="eastAsia"/>
          <w:lang w:eastAsia="zh-CN"/>
        </w:rPr>
        <w:t xml:space="preserve">n this solution, the parameter </w:t>
      </w:r>
      <w:r>
        <w:rPr>
          <w:rFonts w:hint="eastAsia"/>
          <w:b/>
          <w:lang w:eastAsia="zh-CN"/>
        </w:rPr>
        <w:t>cellReservedForOtherUse</w:t>
      </w:r>
      <w:r>
        <w:rPr>
          <w:rFonts w:hint="eastAsia"/>
          <w:lang w:eastAsia="zh-CN"/>
        </w:rPr>
        <w:t xml:space="preserve"> with </w:t>
      </w:r>
      <w:r>
        <w:rPr>
          <w:lang w:eastAsia="zh-CN"/>
        </w:rPr>
        <w:t>“</w:t>
      </w:r>
      <w:r>
        <w:rPr>
          <w:rFonts w:hint="eastAsia"/>
          <w:lang w:eastAsia="zh-CN"/>
        </w:rPr>
        <w:t>true</w:t>
      </w:r>
      <w:r>
        <w:rPr>
          <w:lang w:eastAsia="zh-CN"/>
        </w:rPr>
        <w:t>”</w:t>
      </w:r>
      <w:r>
        <w:rPr>
          <w:rFonts w:hint="eastAsia"/>
          <w:lang w:eastAsia="zh-CN"/>
        </w:rPr>
        <w:t xml:space="preserve"> setting could</w:t>
      </w:r>
      <w:r>
        <w:rPr>
          <w:rFonts w:hint="eastAsia"/>
          <w:b/>
          <w:lang w:val="en-US" w:eastAsia="zh-CN"/>
        </w:rPr>
        <w:t xml:space="preserve"> </w:t>
      </w:r>
      <w:r>
        <w:rPr>
          <w:rFonts w:hint="eastAsia"/>
          <w:lang w:eastAsia="zh-CN"/>
        </w:rPr>
        <w:t xml:space="preserve">prevent the legacy UE or the UE not operating in SNPN access mode from attempting to access SNPN cells. The UE operating in the SNPN access mode ignores </w:t>
      </w:r>
      <w:r>
        <w:rPr>
          <w:rFonts w:hint="eastAsia"/>
          <w:b/>
          <w:lang w:eastAsia="zh-CN"/>
        </w:rPr>
        <w:t>cellReservedForOtherUse</w:t>
      </w:r>
      <w:r>
        <w:rPr>
          <w:rFonts w:hint="eastAsia"/>
          <w:lang w:eastAsia="zh-CN"/>
        </w:rPr>
        <w:t xml:space="preserve"> with </w:t>
      </w:r>
      <w:r>
        <w:rPr>
          <w:lang w:eastAsia="zh-CN"/>
        </w:rPr>
        <w:t>“</w:t>
      </w:r>
      <w:r>
        <w:rPr>
          <w:rFonts w:hint="eastAsia"/>
          <w:lang w:eastAsia="zh-CN"/>
        </w:rPr>
        <w:t>true</w:t>
      </w:r>
      <w:r>
        <w:rPr>
          <w:lang w:eastAsia="zh-CN"/>
        </w:rPr>
        <w:t>”</w:t>
      </w:r>
      <w:r>
        <w:rPr>
          <w:rFonts w:hint="eastAsia"/>
          <w:lang w:eastAsia="zh-CN"/>
        </w:rPr>
        <w:t xml:space="preserve"> setting and does not treat this cell as barred. The UE operating in the SNPN access mode further checks that whether the cell is SNPN cell or not by reading NPN-ID broadcasted in SIB. </w:t>
      </w:r>
      <w:r>
        <w:rPr>
          <w:lang w:eastAsia="zh-CN"/>
        </w:rPr>
        <w:t>Another</w:t>
      </w:r>
      <w:r>
        <w:rPr>
          <w:rFonts w:hint="eastAsia"/>
          <w:lang w:eastAsia="zh-CN"/>
        </w:rPr>
        <w:t xml:space="preserve"> option is to introduce one new parameter to explicitly indicate whether the cell is SNPN cell or not for SNPN supported UE.</w:t>
      </w:r>
    </w:p>
    <w:p>
      <w:pPr>
        <w:rPr>
          <w:b/>
          <w:lang w:eastAsia="zh-CN"/>
        </w:rPr>
      </w:pPr>
      <w:r>
        <w:rPr>
          <w:b/>
        </w:rPr>
        <w:t xml:space="preserve">Observation </w:t>
      </w:r>
      <w:r>
        <w:rPr>
          <w:rFonts w:hint="default"/>
          <w:b/>
          <w:lang w:val="en-US"/>
        </w:rPr>
        <w:t>2</w:t>
      </w:r>
      <w:r>
        <w:rPr>
          <w:b/>
        </w:rPr>
        <w:t xml:space="preserve">: </w:t>
      </w:r>
      <w:r>
        <w:rPr>
          <w:b/>
          <w:lang w:eastAsia="zh-CN"/>
        </w:rPr>
        <w:t>T</w:t>
      </w:r>
      <w:r>
        <w:rPr>
          <w:rFonts w:hint="eastAsia"/>
          <w:b/>
          <w:lang w:eastAsia="zh-CN"/>
        </w:rPr>
        <w:t xml:space="preserve">he parameter cellReservedForOtherUse with </w:t>
      </w:r>
      <w:r>
        <w:rPr>
          <w:b/>
          <w:lang w:eastAsia="zh-CN"/>
        </w:rPr>
        <w:t>“</w:t>
      </w:r>
      <w:r>
        <w:rPr>
          <w:rFonts w:hint="eastAsia"/>
          <w:b/>
          <w:lang w:eastAsia="zh-CN"/>
        </w:rPr>
        <w:t>true</w:t>
      </w:r>
      <w:r>
        <w:rPr>
          <w:b/>
          <w:lang w:eastAsia="zh-CN"/>
        </w:rPr>
        <w:t>”</w:t>
      </w:r>
      <w:r>
        <w:rPr>
          <w:rFonts w:hint="eastAsia"/>
          <w:b/>
          <w:lang w:eastAsia="zh-CN"/>
        </w:rPr>
        <w:t xml:space="preserve"> setting could</w:t>
      </w:r>
      <w:r>
        <w:rPr>
          <w:rFonts w:hint="eastAsia"/>
          <w:b/>
          <w:lang w:val="en-US" w:eastAsia="zh-CN"/>
        </w:rPr>
        <w:t xml:space="preserve"> </w:t>
      </w:r>
      <w:r>
        <w:rPr>
          <w:rFonts w:hint="eastAsia"/>
          <w:b/>
          <w:lang w:eastAsia="zh-CN"/>
        </w:rPr>
        <w:t>prevent the legacy UE or the UE not operating in SNPN access mode from attempting to access SNPN cells.</w:t>
      </w:r>
    </w:p>
    <w:p>
      <w:pPr>
        <w:rPr>
          <w:lang w:eastAsia="zh-CN"/>
        </w:rPr>
      </w:pPr>
      <w:r>
        <w:rPr>
          <w:b/>
          <w:lang w:eastAsia="zh-CN"/>
        </w:rPr>
        <w:t xml:space="preserve">Observation </w:t>
      </w:r>
      <w:r>
        <w:rPr>
          <w:rFonts w:hint="default"/>
          <w:b/>
          <w:lang w:val="en-US" w:eastAsia="zh-CN"/>
        </w:rPr>
        <w:t>3</w:t>
      </w:r>
      <w:r>
        <w:rPr>
          <w:b/>
          <w:lang w:eastAsia="zh-CN"/>
        </w:rPr>
        <w:t>: The UE operating in the SNPN access mode ignores cellReservedForOtherUse with “true” setting and does not treat this cell as barred. The UE operating in the SNPN access mode further checks that whether the cell is SNPN cell or not by reading NPN-ID broadcasted in SIB. Alternatively,</w:t>
      </w:r>
      <w:r>
        <w:rPr>
          <w:rFonts w:hint="eastAsia"/>
          <w:b/>
          <w:lang w:eastAsia="zh-CN"/>
        </w:rPr>
        <w:t xml:space="preserve"> to introduce one new parameter to explicitly indicate whether the cell is SNPN cell or not for SNPN supported UE.</w:t>
      </w:r>
    </w:p>
    <w:p>
      <w:r>
        <w:t xml:space="preserve">And as illustrated in </w:t>
      </w:r>
      <w:r>
        <w:fldChar w:fldCharType="begin"/>
      </w:r>
      <w:r>
        <w:instrText xml:space="preserve"> REF _Ref16779134 \r \h </w:instrText>
      </w:r>
      <w:r>
        <w:fldChar w:fldCharType="separate"/>
      </w:r>
      <w:r>
        <w:t>[5]</w:t>
      </w:r>
      <w:r>
        <w:fldChar w:fldCharType="end"/>
      </w:r>
      <w:r>
        <w:t xml:space="preserve">, to address the issue of the limitation of CellReservedForOtherUse indicator for both RAN shairng, a SNPN UE and unauthorized SNPN UE should have a different interpretation on the indication from the Rel-15 UE. That is: </w:t>
      </w:r>
    </w:p>
    <w:p>
      <w:pPr>
        <w:rPr>
          <w:b/>
        </w:rPr>
      </w:pPr>
      <w:r>
        <w:rPr>
          <w:b/>
        </w:rPr>
        <w:t xml:space="preserve">Proposal </w:t>
      </w:r>
      <w:r>
        <w:rPr>
          <w:rFonts w:hint="default"/>
          <w:b/>
          <w:lang w:val="en-US"/>
        </w:rPr>
        <w:t>1</w:t>
      </w:r>
      <w:r>
        <w:rPr>
          <w:b/>
        </w:rPr>
        <w:t>: If RAN sharing is applied, then the CellReservedForOtherUse indicator can be ignored by Rel-16 non-SNPN UE and unauthorized SNPN UE. Or CellReservedForOtherUse indicator can be defined per-PLMN.</w:t>
      </w:r>
    </w:p>
    <w:p>
      <w:pPr>
        <w:rPr>
          <w:lang w:eastAsia="zh-CN"/>
        </w:rPr>
      </w:pPr>
      <w:r>
        <w:rPr>
          <w:lang w:val="en-US" w:eastAsia="zh-CN"/>
        </w:rPr>
        <w:t>On the other hand, in the scenario of RAN sharing</w:t>
      </w:r>
      <w:r>
        <w:rPr>
          <w:rFonts w:hint="eastAsia"/>
          <w:lang w:val="en-US" w:eastAsia="zh-CN"/>
        </w:rPr>
        <w:t xml:space="preserve"> between a SNPN and PLMN/CAG, the non-SNPN support UE and the UE not operating in the SNPN access mode should select the </w:t>
      </w:r>
      <w:r>
        <w:rPr>
          <w:lang w:val="en-US" w:eastAsia="zh-CN"/>
        </w:rPr>
        <w:t>register</w:t>
      </w:r>
      <w:r>
        <w:rPr>
          <w:rFonts w:hint="eastAsia"/>
          <w:lang w:val="en-US" w:eastAsia="zh-CN"/>
        </w:rPr>
        <w:t xml:space="preserve">ed or equivalent PLMN or CAG but not select the SNPN network. </w:t>
      </w:r>
      <w:r>
        <w:rPr>
          <w:rFonts w:hint="eastAsia"/>
          <w:lang w:eastAsia="zh-CN"/>
        </w:rPr>
        <w:t xml:space="preserve">If the NPN-ID is the combination of public PLMN </w:t>
      </w:r>
      <w:r>
        <w:rPr>
          <w:lang w:eastAsia="zh-CN"/>
        </w:rPr>
        <w:t>and NID</w:t>
      </w:r>
      <w:r>
        <w:rPr>
          <w:rFonts w:hint="eastAsia"/>
          <w:lang w:eastAsia="zh-CN"/>
        </w:rPr>
        <w:t>, the new IE for NPN-ID should be introduced in</w:t>
      </w:r>
      <w:r>
        <w:rPr>
          <w:lang w:eastAsia="zh-CN"/>
        </w:rPr>
        <w:t>dependently</w:t>
      </w:r>
      <w:r>
        <w:rPr>
          <w:rFonts w:hint="eastAsia"/>
          <w:lang w:eastAsia="zh-CN"/>
        </w:rPr>
        <w:t>.</w:t>
      </w:r>
    </w:p>
    <w:p>
      <w:pPr>
        <w:jc w:val="both"/>
        <w:rPr>
          <w:lang w:val="en-US" w:eastAsia="zh-CN"/>
        </w:rPr>
      </w:pPr>
      <w:r>
        <w:rPr>
          <w:lang w:val="en-US" w:eastAsia="zh-CN"/>
        </w:rPr>
        <w:t xml:space="preserve">As indicated in </w:t>
      </w:r>
      <w:r>
        <w:rPr>
          <w:lang w:val="en-US" w:eastAsia="zh-CN"/>
        </w:rPr>
        <w:fldChar w:fldCharType="begin"/>
      </w:r>
      <w:r>
        <w:rPr>
          <w:lang w:val="en-US" w:eastAsia="zh-CN"/>
        </w:rPr>
        <w:instrText xml:space="preserve"> REF _Ref16607398 \r \h </w:instrText>
      </w:r>
      <w:r>
        <w:rPr>
          <w:lang w:val="en-US" w:eastAsia="zh-CN"/>
        </w:rPr>
        <w:fldChar w:fldCharType="separate"/>
      </w:r>
      <w:r>
        <w:rPr>
          <w:lang w:val="en-US" w:eastAsia="zh-CN"/>
        </w:rPr>
        <w:t>[2]</w:t>
      </w:r>
      <w:r>
        <w:rPr>
          <w:lang w:val="en-US" w:eastAsia="zh-CN"/>
        </w:rPr>
        <w:fldChar w:fldCharType="end"/>
      </w:r>
      <w:r>
        <w:rPr>
          <w:lang w:val="en-US" w:eastAsia="zh-CN"/>
        </w:rPr>
        <w:t>, the following additional system information is expected from gNB, as listed in the table below:</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529"/>
        <w:gridCol w:w="7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gridSpan w:val="3"/>
          </w:tcPr>
          <w:p>
            <w:pPr>
              <w:jc w:val="both"/>
              <w:rPr>
                <w:rFonts w:ascii="Batang" w:hAnsi="Batang" w:eastAsia="Helvetica"/>
                <w:lang w:eastAsia="zh-CN"/>
              </w:rPr>
            </w:pPr>
            <w:r>
              <w:rPr>
                <w:rFonts w:ascii="Arial" w:hAnsi="Arial" w:eastAsia="Times New Roman"/>
                <w:b/>
                <w:lang w:val="en-US" w:eastAsia="zh-CN"/>
              </w:rPr>
              <w:t>System information for SNPN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6" w:type="dxa"/>
          </w:tcPr>
          <w:p>
            <w:pPr>
              <w:jc w:val="both"/>
              <w:rPr>
                <w:rFonts w:ascii="Arial" w:hAnsi="Arial" w:eastAsia="Times New Roman"/>
                <w:b/>
                <w:lang w:val="en-US" w:eastAsia="zh-CN"/>
              </w:rPr>
            </w:pPr>
            <w:r>
              <w:rPr>
                <w:rFonts w:ascii="Arial" w:hAnsi="Arial" w:eastAsia="Times New Roman"/>
                <w:b/>
                <w:lang w:val="en-US" w:eastAsia="zh-CN"/>
              </w:rPr>
              <w:t>&gt;PLMN List</w:t>
            </w:r>
          </w:p>
        </w:tc>
        <w:tc>
          <w:tcPr>
            <w:tcW w:w="529" w:type="dxa"/>
          </w:tcPr>
          <w:p>
            <w:pPr>
              <w:jc w:val="both"/>
              <w:rPr>
                <w:rFonts w:ascii="Arial" w:hAnsi="Arial" w:eastAsia="Times New Roman"/>
                <w:lang w:val="en-US" w:eastAsia="zh-CN"/>
              </w:rPr>
            </w:pPr>
            <w:r>
              <w:rPr>
                <w:rFonts w:ascii="Arial" w:hAnsi="Arial" w:eastAsia="Times New Roman"/>
                <w:lang w:val="en-US" w:eastAsia="zh-CN"/>
              </w:rPr>
              <w:t>M</w:t>
            </w:r>
          </w:p>
        </w:tc>
        <w:tc>
          <w:tcPr>
            <w:tcW w:w="7226" w:type="dxa"/>
          </w:tcPr>
          <w:p>
            <w:pPr>
              <w:jc w:val="both"/>
              <w:rPr>
                <w:rFonts w:ascii="Arial" w:hAnsi="Arial"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6" w:type="dxa"/>
          </w:tcPr>
          <w:p>
            <w:pPr>
              <w:jc w:val="both"/>
              <w:rPr>
                <w:rFonts w:ascii="Arial" w:hAnsi="Arial" w:eastAsia="Times New Roman"/>
                <w:b/>
                <w:lang w:val="en-US" w:eastAsia="zh-CN"/>
              </w:rPr>
            </w:pPr>
            <w:r>
              <w:rPr>
                <w:rFonts w:ascii="Arial" w:hAnsi="Arial" w:eastAsia="Times New Roman"/>
                <w:b/>
                <w:lang w:val="en-US" w:eastAsia="zh-CN"/>
              </w:rPr>
              <w:t>&gt;&gt; PLMN ID</w:t>
            </w:r>
          </w:p>
        </w:tc>
        <w:tc>
          <w:tcPr>
            <w:tcW w:w="529" w:type="dxa"/>
          </w:tcPr>
          <w:p>
            <w:pPr>
              <w:jc w:val="both"/>
              <w:rPr>
                <w:rFonts w:ascii="Arial" w:hAnsi="Arial" w:eastAsia="Times New Roman"/>
                <w:lang w:val="en-US" w:eastAsia="zh-CN"/>
              </w:rPr>
            </w:pPr>
            <w:r>
              <w:rPr>
                <w:rFonts w:ascii="Arial" w:hAnsi="Arial" w:eastAsia="Times New Roman"/>
                <w:lang w:val="en-US" w:eastAsia="zh-CN"/>
              </w:rPr>
              <w:t>M</w:t>
            </w:r>
          </w:p>
        </w:tc>
        <w:tc>
          <w:tcPr>
            <w:tcW w:w="7226" w:type="dxa"/>
          </w:tcPr>
          <w:p>
            <w:pPr>
              <w:jc w:val="both"/>
              <w:rPr>
                <w:rFonts w:ascii="Arial" w:hAnsi="Arial" w:eastAsia="Times New Roman"/>
                <w:lang w:val="en-US" w:eastAsia="zh-CN"/>
              </w:rPr>
            </w:pPr>
            <w:r>
              <w:rPr>
                <w:rFonts w:ascii="Arial" w:hAnsi="Arial" w:eastAsia="Times New Roman"/>
                <w:lang w:val="en-US" w:eastAsia="zh-CN"/>
              </w:rPr>
              <w:t>Public PLMN , or:</w:t>
            </w:r>
          </w:p>
          <w:p>
            <w:pPr>
              <w:jc w:val="both"/>
              <w:rPr>
                <w:rFonts w:ascii="Arial" w:hAnsi="Arial" w:eastAsia="Times New Roman"/>
                <w:lang w:val="en-US" w:eastAsia="zh-CN"/>
              </w:rPr>
            </w:pPr>
            <w:r>
              <w:rPr>
                <w:rFonts w:ascii="Arial" w:hAnsi="Arial" w:eastAsia="Times New Roman"/>
                <w:lang w:val="en-US" w:eastAsia="zh-CN"/>
              </w:rPr>
              <w:t>PLMN ID reserved for private network, e.g. MCC=999 assigned by ITU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6" w:type="dxa"/>
          </w:tcPr>
          <w:p>
            <w:pPr>
              <w:jc w:val="both"/>
              <w:rPr>
                <w:rFonts w:ascii="Arial" w:hAnsi="Arial" w:eastAsia="Times New Roman"/>
                <w:b/>
                <w:lang w:val="en-US" w:eastAsia="zh-CN"/>
              </w:rPr>
            </w:pPr>
            <w:r>
              <w:rPr>
                <w:rFonts w:ascii="Arial" w:hAnsi="Arial" w:eastAsia="Times New Roman"/>
                <w:b/>
                <w:lang w:val="en-US" w:eastAsia="zh-CN"/>
              </w:rPr>
              <w:t>&gt;&gt; NID List</w:t>
            </w:r>
          </w:p>
        </w:tc>
        <w:tc>
          <w:tcPr>
            <w:tcW w:w="529" w:type="dxa"/>
          </w:tcPr>
          <w:p>
            <w:pPr>
              <w:jc w:val="both"/>
              <w:rPr>
                <w:rFonts w:ascii="Arial" w:hAnsi="Arial" w:eastAsia="Times New Roman"/>
                <w:lang w:val="en-US" w:eastAsia="zh-CN"/>
              </w:rPr>
            </w:pPr>
            <w:r>
              <w:rPr>
                <w:rFonts w:ascii="Arial" w:hAnsi="Arial" w:eastAsia="Times New Roman"/>
                <w:lang w:val="en-US" w:eastAsia="zh-CN"/>
              </w:rPr>
              <w:t>M</w:t>
            </w:r>
          </w:p>
        </w:tc>
        <w:tc>
          <w:tcPr>
            <w:tcW w:w="7226" w:type="dxa"/>
          </w:tcPr>
          <w:p>
            <w:pPr>
              <w:jc w:val="both"/>
              <w:rPr>
                <w:rFonts w:ascii="Arial" w:hAnsi="Arial" w:eastAsia="Times New Roman"/>
                <w:lang w:val="en-US" w:eastAsia="zh-CN"/>
              </w:rPr>
            </w:pPr>
            <w:r>
              <w:rPr>
                <w:rFonts w:ascii="Arial" w:hAnsi="Arial" w:eastAsia="Times New Roman"/>
                <w:lang w:val="en-US" w:eastAsia="zh-CN"/>
              </w:rPr>
              <w:t>Max-number is FFS (12 is assumed in SA2)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6" w:type="dxa"/>
          </w:tcPr>
          <w:p>
            <w:pPr>
              <w:jc w:val="both"/>
              <w:rPr>
                <w:rFonts w:ascii="Arial" w:hAnsi="Arial" w:eastAsia="Times New Roman"/>
                <w:b/>
                <w:lang w:val="en-US" w:eastAsia="zh-CN"/>
              </w:rPr>
            </w:pPr>
            <w:r>
              <w:rPr>
                <w:rFonts w:ascii="Arial" w:hAnsi="Arial" w:eastAsia="Times New Roman"/>
                <w:b/>
                <w:lang w:val="en-US" w:eastAsia="zh-CN"/>
              </w:rPr>
              <w:t xml:space="preserve">&gt;&gt;&gt;NID </w:t>
            </w:r>
          </w:p>
        </w:tc>
        <w:tc>
          <w:tcPr>
            <w:tcW w:w="529" w:type="dxa"/>
          </w:tcPr>
          <w:p>
            <w:pPr>
              <w:jc w:val="both"/>
              <w:rPr>
                <w:rFonts w:ascii="Arial" w:hAnsi="Arial" w:eastAsia="Times New Roman"/>
                <w:lang w:val="en-US" w:eastAsia="zh-CN"/>
              </w:rPr>
            </w:pPr>
            <w:r>
              <w:rPr>
                <w:rFonts w:ascii="Arial" w:hAnsi="Arial" w:eastAsia="Times New Roman"/>
                <w:lang w:val="en-US" w:eastAsia="zh-CN"/>
              </w:rPr>
              <w:t>M</w:t>
            </w:r>
          </w:p>
        </w:tc>
        <w:tc>
          <w:tcPr>
            <w:tcW w:w="7226" w:type="dxa"/>
          </w:tcPr>
          <w:p>
            <w:pPr>
              <w:jc w:val="both"/>
              <w:rPr>
                <w:rFonts w:ascii="Arial" w:hAnsi="Arial"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6" w:type="dxa"/>
          </w:tcPr>
          <w:p>
            <w:pPr>
              <w:jc w:val="both"/>
              <w:rPr>
                <w:rFonts w:ascii="Arial" w:hAnsi="Arial" w:eastAsia="Times New Roman"/>
                <w:b/>
                <w:lang w:val="en-US" w:eastAsia="zh-CN"/>
              </w:rPr>
            </w:pPr>
            <w:r>
              <w:rPr>
                <w:rFonts w:ascii="Arial" w:hAnsi="Arial" w:eastAsia="Times New Roman"/>
                <w:b/>
                <w:lang w:val="en-US" w:eastAsia="zh-CN"/>
              </w:rPr>
              <w:t>&gt;&gt;&gt; Human-readable network name</w:t>
            </w:r>
          </w:p>
        </w:tc>
        <w:tc>
          <w:tcPr>
            <w:tcW w:w="529" w:type="dxa"/>
          </w:tcPr>
          <w:p>
            <w:pPr>
              <w:jc w:val="both"/>
              <w:rPr>
                <w:rFonts w:ascii="Arial" w:hAnsi="Arial" w:eastAsia="Times New Roman"/>
                <w:lang w:val="en-US" w:eastAsia="zh-CN"/>
              </w:rPr>
            </w:pPr>
            <w:r>
              <w:rPr>
                <w:rFonts w:ascii="Arial" w:hAnsi="Arial" w:eastAsia="Times New Roman"/>
                <w:lang w:val="en-US" w:eastAsia="zh-CN"/>
              </w:rPr>
              <w:t>O</w:t>
            </w:r>
          </w:p>
        </w:tc>
        <w:tc>
          <w:tcPr>
            <w:tcW w:w="7226" w:type="dxa"/>
          </w:tcPr>
          <w:p>
            <w:pPr>
              <w:jc w:val="both"/>
              <w:rPr>
                <w:rFonts w:ascii="Arial" w:hAnsi="Arial" w:eastAsia="Times New Roman"/>
                <w:lang w:val="en-US" w:eastAsia="zh-CN"/>
              </w:rPr>
            </w:pPr>
            <w:r>
              <w:rPr>
                <w:rFonts w:ascii="Arial" w:hAnsi="Arial" w:eastAsia="Times New Roman"/>
                <w:lang w:val="en-US" w:eastAsia="zh-CN"/>
              </w:rPr>
              <w:t>Carries the name of the network name, e.g. in OCTET STRING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6" w:type="dxa"/>
          </w:tcPr>
          <w:p>
            <w:pPr>
              <w:jc w:val="both"/>
              <w:rPr>
                <w:rFonts w:ascii="Arial" w:hAnsi="Arial" w:eastAsia="Times New Roman"/>
                <w:b/>
                <w:lang w:val="en-US" w:eastAsia="zh-CN"/>
              </w:rPr>
            </w:pPr>
            <w:r>
              <w:rPr>
                <w:rFonts w:ascii="Arial" w:hAnsi="Arial" w:eastAsia="Times New Roman"/>
                <w:b/>
                <w:lang w:val="en-US" w:eastAsia="zh-CN"/>
              </w:rPr>
              <w:t>&gt;&gt; Access information</w:t>
            </w:r>
          </w:p>
        </w:tc>
        <w:tc>
          <w:tcPr>
            <w:tcW w:w="529" w:type="dxa"/>
          </w:tcPr>
          <w:p>
            <w:pPr>
              <w:jc w:val="both"/>
              <w:rPr>
                <w:rFonts w:ascii="Arial" w:hAnsi="Arial" w:eastAsia="Times New Roman"/>
                <w:lang w:val="en-US" w:eastAsia="zh-CN"/>
              </w:rPr>
            </w:pPr>
            <w:r>
              <w:rPr>
                <w:rFonts w:ascii="Arial" w:hAnsi="Arial" w:eastAsia="Times New Roman"/>
                <w:lang w:val="en-US" w:eastAsia="zh-CN"/>
              </w:rPr>
              <w:t>O</w:t>
            </w:r>
          </w:p>
        </w:tc>
        <w:tc>
          <w:tcPr>
            <w:tcW w:w="7226" w:type="dxa"/>
          </w:tcPr>
          <w:p>
            <w:pPr>
              <w:jc w:val="both"/>
              <w:rPr>
                <w:rFonts w:ascii="Arial" w:hAnsi="Arial" w:eastAsia="Times New Roman"/>
                <w:lang w:val="en-US" w:eastAsia="zh-CN"/>
              </w:rPr>
            </w:pPr>
            <w:r>
              <w:rPr>
                <w:rFonts w:ascii="Arial" w:hAnsi="Arial" w:eastAsia="Times New Roman"/>
                <w:lang w:val="en-US" w:eastAsia="zh-CN"/>
              </w:rPr>
              <w:t>To prevent UEs not supporting SNPNs from accessing the cell, e.g. in case the cell only provides access to non-public networks</w:t>
            </w:r>
          </w:p>
        </w:tc>
      </w:tr>
    </w:tbl>
    <w:p>
      <w:pPr>
        <w:rPr>
          <w:lang w:eastAsia="zh-CN"/>
        </w:rPr>
      </w:pPr>
    </w:p>
    <w:p>
      <w:pPr>
        <w:rPr>
          <w:b/>
          <w:lang w:eastAsia="zh-CN"/>
        </w:rPr>
      </w:pPr>
      <w:r>
        <w:rPr>
          <w:rFonts w:hint="eastAsia"/>
          <w:b/>
          <w:lang w:eastAsia="zh-CN"/>
        </w:rPr>
        <w:t xml:space="preserve">Proposal </w:t>
      </w:r>
      <w:r>
        <w:rPr>
          <w:rFonts w:hint="default"/>
          <w:b/>
          <w:lang w:val="en-US" w:eastAsia="zh-CN"/>
        </w:rPr>
        <w:t>2</w:t>
      </w:r>
      <w:r>
        <w:rPr>
          <w:b/>
          <w:lang w:eastAsia="zh-CN"/>
        </w:rPr>
        <w:t>:</w:t>
      </w:r>
      <w:r>
        <w:rPr>
          <w:rFonts w:hint="eastAsia"/>
          <w:b/>
          <w:lang w:eastAsia="zh-CN"/>
        </w:rPr>
        <w:t xml:space="preserve"> RAN2 may need to consider that how to support the available PLMN IDs and the list of NIDs per PLMN ID </w:t>
      </w:r>
      <w:r>
        <w:rPr>
          <w:b/>
          <w:lang w:eastAsia="zh-CN"/>
        </w:rPr>
        <w:t>broadcast</w:t>
      </w:r>
      <w:r>
        <w:rPr>
          <w:rFonts w:hint="eastAsia"/>
          <w:b/>
          <w:lang w:eastAsia="zh-CN"/>
        </w:rPr>
        <w:t xml:space="preserve">ed in SIB1 and how to indicate whether the cell is SNPN cell or not for SNPN </w:t>
      </w:r>
      <w:r>
        <w:rPr>
          <w:b/>
          <w:lang w:eastAsia="zh-CN"/>
        </w:rPr>
        <w:t>supported</w:t>
      </w:r>
      <w:r>
        <w:rPr>
          <w:rFonts w:hint="eastAsia"/>
          <w:b/>
          <w:lang w:eastAsia="zh-CN"/>
        </w:rPr>
        <w:t xml:space="preserve"> UE.</w:t>
      </w:r>
    </w:p>
    <w:p>
      <w:pPr>
        <w:rPr>
          <w:lang w:eastAsia="zh-CN"/>
        </w:rPr>
      </w:pPr>
      <w:r>
        <w:rPr>
          <w:rFonts w:hint="default"/>
          <w:lang w:val="en-US" w:eastAsia="zh-CN"/>
        </w:rPr>
        <w:t>Furthermore</w:t>
      </w:r>
      <w:r>
        <w:rPr>
          <w:lang w:eastAsia="zh-CN"/>
        </w:rPr>
        <w:t>, whether a specific MNC to use for non-public networks has not been decided yet. Whether the full PLMN ID identifying non-public networks needs to be broadcasted or whether this can be further optimized in SIB, i.e. either MNC or MCC which  is up to RAN2 and CT1 to decide.</w:t>
      </w:r>
    </w:p>
    <w:p>
      <w:pPr>
        <w:rPr>
          <w:lang w:eastAsia="zh-CN"/>
        </w:rPr>
      </w:pPr>
      <w:r>
        <w:rPr>
          <w:lang w:eastAsia="zh-CN"/>
        </w:rPr>
        <w:t>On this statement and from a broadcast perspective, RAN 2 would need further information on uniqueness of MNC to be able to judge if the MCC also needs to be broadcast.</w:t>
      </w:r>
    </w:p>
    <w:p>
      <w:pPr>
        <w:rPr>
          <w:b/>
          <w:lang w:eastAsia="zh-CN"/>
        </w:rPr>
      </w:pPr>
      <w:r>
        <w:rPr>
          <w:b/>
          <w:lang w:eastAsia="zh-CN"/>
        </w:rPr>
        <w:t xml:space="preserve">Proposal </w:t>
      </w:r>
      <w:r>
        <w:rPr>
          <w:rFonts w:hint="default"/>
          <w:b/>
          <w:lang w:val="en-US" w:eastAsia="zh-CN"/>
        </w:rPr>
        <w:t xml:space="preserve">3: </w:t>
      </w:r>
      <w:r>
        <w:rPr>
          <w:b/>
          <w:lang w:eastAsia="zh-CN"/>
        </w:rPr>
        <w:t>Include in an LS response to SA2 (CT1, RAN3), that RAN2 expect further information on selection of MNC and uniqueness thereof, to judge whether further SIB optimization would be possible.</w:t>
      </w:r>
    </w:p>
    <w:p>
      <w:pPr>
        <w:pStyle w:val="3"/>
        <w:numPr>
          <w:numId w:val="0"/>
        </w:numPr>
        <w:ind w:right="200" w:rightChars="100"/>
        <w:rPr>
          <w:lang w:val="en-US" w:eastAsia="zh-CN"/>
        </w:rPr>
      </w:pPr>
      <w:r>
        <w:rPr>
          <w:rFonts w:hint="default"/>
          <w:lang w:val="en-US" w:eastAsia="zh-CN"/>
        </w:rPr>
        <w:t xml:space="preserve">2.2 </w:t>
      </w:r>
      <w:r>
        <w:rPr>
          <w:lang w:val="en-US" w:eastAsia="zh-CN"/>
        </w:rPr>
        <w:t>UE configuration and subscription aspects</w:t>
      </w:r>
    </w:p>
    <w:p>
      <w:pPr>
        <w:rPr>
          <w:lang w:eastAsia="zh-CN"/>
        </w:rPr>
      </w:pPr>
      <w:r>
        <w:rPr>
          <w:lang w:eastAsia="zh-CN"/>
        </w:rPr>
        <w:t>An SNPN-enabled UE is configured with subscriber identifier (SUPI) and credentials for each subscribed SNPN identified by the combination of PLMN ID and NID.</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0"/>
        <w:gridCol w:w="613"/>
        <w:gridCol w:w="5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gridSpan w:val="3"/>
          </w:tcPr>
          <w:p>
            <w:pPr>
              <w:jc w:val="both"/>
              <w:rPr>
                <w:rFonts w:ascii="Batang" w:hAnsi="Batang" w:eastAsia="Helvetica"/>
                <w:b/>
                <w:lang w:eastAsia="zh-CN"/>
              </w:rPr>
            </w:pPr>
            <w:r>
              <w:rPr>
                <w:rFonts w:ascii="Arial" w:hAnsi="Arial" w:eastAsia="Times New Roman"/>
                <w:b/>
                <w:lang w:val="en-US" w:eastAsia="zh-CN"/>
              </w:rPr>
              <w:t>Configuration for SNPN-enabled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10" w:type="dxa"/>
          </w:tcPr>
          <w:p>
            <w:pPr>
              <w:jc w:val="both"/>
              <w:rPr>
                <w:rFonts w:ascii="Arial" w:hAnsi="Arial" w:eastAsia="Times New Roman"/>
                <w:b/>
                <w:lang w:val="en-US" w:eastAsia="zh-CN"/>
              </w:rPr>
            </w:pPr>
            <w:r>
              <w:rPr>
                <w:rFonts w:ascii="Arial" w:hAnsi="Arial" w:eastAsia="Times New Roman"/>
                <w:b/>
                <w:lang w:val="en-US" w:eastAsia="zh-CN"/>
              </w:rPr>
              <w:t>&gt;PLMN List</w:t>
            </w:r>
          </w:p>
        </w:tc>
        <w:tc>
          <w:tcPr>
            <w:tcW w:w="613" w:type="dxa"/>
          </w:tcPr>
          <w:p>
            <w:pPr>
              <w:jc w:val="both"/>
              <w:rPr>
                <w:rFonts w:ascii="Arial" w:hAnsi="Arial" w:eastAsia="Times New Roman"/>
                <w:lang w:val="en-US" w:eastAsia="zh-CN"/>
              </w:rPr>
            </w:pPr>
            <w:r>
              <w:rPr>
                <w:rFonts w:ascii="Arial" w:hAnsi="Arial" w:eastAsia="Times New Roman"/>
                <w:lang w:val="en-US" w:eastAsia="zh-CN"/>
              </w:rPr>
              <w:t>M</w:t>
            </w:r>
          </w:p>
        </w:tc>
        <w:tc>
          <w:tcPr>
            <w:tcW w:w="5808" w:type="dxa"/>
          </w:tcPr>
          <w:p>
            <w:pPr>
              <w:jc w:val="both"/>
              <w:rPr>
                <w:rFonts w:ascii="Arial" w:hAnsi="Arial"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10" w:type="dxa"/>
          </w:tcPr>
          <w:p>
            <w:pPr>
              <w:jc w:val="both"/>
              <w:rPr>
                <w:rFonts w:ascii="Arial" w:hAnsi="Arial" w:eastAsia="Times New Roman"/>
                <w:b/>
                <w:lang w:val="en-US" w:eastAsia="zh-CN"/>
              </w:rPr>
            </w:pPr>
            <w:r>
              <w:rPr>
                <w:rFonts w:ascii="Arial" w:hAnsi="Arial" w:eastAsia="Times New Roman"/>
                <w:b/>
                <w:lang w:val="en-US" w:eastAsia="zh-CN"/>
              </w:rPr>
              <w:t>&gt;&gt; PLMN ID</w:t>
            </w:r>
          </w:p>
        </w:tc>
        <w:tc>
          <w:tcPr>
            <w:tcW w:w="613" w:type="dxa"/>
          </w:tcPr>
          <w:p>
            <w:pPr>
              <w:jc w:val="both"/>
              <w:rPr>
                <w:rFonts w:ascii="Arial" w:hAnsi="Arial" w:eastAsia="Times New Roman"/>
                <w:lang w:val="en-US" w:eastAsia="zh-CN"/>
              </w:rPr>
            </w:pPr>
            <w:r>
              <w:rPr>
                <w:rFonts w:ascii="Arial" w:hAnsi="Arial" w:eastAsia="Times New Roman"/>
                <w:lang w:val="en-US" w:eastAsia="zh-CN"/>
              </w:rPr>
              <w:t>M</w:t>
            </w:r>
          </w:p>
        </w:tc>
        <w:tc>
          <w:tcPr>
            <w:tcW w:w="5808" w:type="dxa"/>
          </w:tcPr>
          <w:p>
            <w:pPr>
              <w:jc w:val="both"/>
              <w:rPr>
                <w:rFonts w:ascii="Arial" w:hAnsi="Arial" w:eastAsia="Times New Roman"/>
                <w:lang w:val="en-US" w:eastAsia="zh-CN"/>
              </w:rPr>
            </w:pPr>
            <w:r>
              <w:rPr>
                <w:rFonts w:ascii="Arial" w:hAnsi="Arial" w:eastAsia="Times New Roman"/>
                <w:lang w:val="en-US" w:eastAsia="zh-CN"/>
              </w:rPr>
              <w:t>Public PLMN , or:</w:t>
            </w:r>
          </w:p>
          <w:p>
            <w:pPr>
              <w:jc w:val="both"/>
              <w:rPr>
                <w:rFonts w:ascii="Arial" w:hAnsi="Arial" w:eastAsia="Times New Roman"/>
                <w:lang w:val="en-US" w:eastAsia="zh-CN"/>
              </w:rPr>
            </w:pPr>
            <w:r>
              <w:rPr>
                <w:rFonts w:ascii="Arial" w:hAnsi="Arial" w:eastAsia="Times New Roman"/>
                <w:lang w:val="en-US" w:eastAsia="zh-CN"/>
              </w:rPr>
              <w:t>PLMN ID reserved for private network, e.g. MCC=999 assigned by ITU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10" w:type="dxa"/>
          </w:tcPr>
          <w:p>
            <w:pPr>
              <w:jc w:val="both"/>
              <w:rPr>
                <w:rFonts w:ascii="Arial" w:hAnsi="Arial" w:eastAsia="Times New Roman"/>
                <w:b/>
                <w:lang w:val="en-US" w:eastAsia="zh-CN"/>
              </w:rPr>
            </w:pPr>
            <w:r>
              <w:rPr>
                <w:rFonts w:ascii="Arial" w:hAnsi="Arial" w:eastAsia="Times New Roman"/>
                <w:b/>
                <w:lang w:val="en-US" w:eastAsia="zh-CN"/>
              </w:rPr>
              <w:t>&gt;&gt; NID List</w:t>
            </w:r>
          </w:p>
        </w:tc>
        <w:tc>
          <w:tcPr>
            <w:tcW w:w="613" w:type="dxa"/>
          </w:tcPr>
          <w:p>
            <w:pPr>
              <w:jc w:val="both"/>
              <w:rPr>
                <w:rFonts w:ascii="Arial" w:hAnsi="Arial" w:eastAsia="Times New Roman"/>
                <w:lang w:val="en-US" w:eastAsia="zh-CN"/>
              </w:rPr>
            </w:pPr>
            <w:r>
              <w:rPr>
                <w:rFonts w:ascii="Arial" w:hAnsi="Arial" w:eastAsia="Times New Roman"/>
                <w:lang w:val="en-US" w:eastAsia="zh-CN"/>
              </w:rPr>
              <w:t>M</w:t>
            </w:r>
          </w:p>
        </w:tc>
        <w:tc>
          <w:tcPr>
            <w:tcW w:w="5808" w:type="dxa"/>
          </w:tcPr>
          <w:p>
            <w:pPr>
              <w:jc w:val="both"/>
              <w:rPr>
                <w:rFonts w:ascii="Arial" w:hAnsi="Arial"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10" w:type="dxa"/>
          </w:tcPr>
          <w:p>
            <w:pPr>
              <w:jc w:val="both"/>
              <w:rPr>
                <w:rFonts w:ascii="Arial" w:hAnsi="Arial" w:eastAsia="Times New Roman"/>
                <w:b/>
                <w:lang w:val="en-US" w:eastAsia="zh-CN"/>
              </w:rPr>
            </w:pPr>
            <w:r>
              <w:rPr>
                <w:rFonts w:ascii="Arial" w:hAnsi="Arial" w:eastAsia="Times New Roman"/>
                <w:b/>
                <w:lang w:val="en-US" w:eastAsia="zh-CN"/>
              </w:rPr>
              <w:t xml:space="preserve">&gt;&gt;&gt;NID </w:t>
            </w:r>
          </w:p>
        </w:tc>
        <w:tc>
          <w:tcPr>
            <w:tcW w:w="613" w:type="dxa"/>
          </w:tcPr>
          <w:p>
            <w:pPr>
              <w:jc w:val="both"/>
              <w:rPr>
                <w:rFonts w:ascii="Arial" w:hAnsi="Arial" w:eastAsia="Times New Roman"/>
                <w:lang w:val="en-US" w:eastAsia="zh-CN"/>
              </w:rPr>
            </w:pPr>
            <w:r>
              <w:rPr>
                <w:rFonts w:ascii="Arial" w:hAnsi="Arial" w:eastAsia="Times New Roman"/>
                <w:lang w:val="en-US" w:eastAsia="zh-CN"/>
              </w:rPr>
              <w:t>M</w:t>
            </w:r>
          </w:p>
        </w:tc>
        <w:tc>
          <w:tcPr>
            <w:tcW w:w="5808" w:type="dxa"/>
          </w:tcPr>
          <w:p>
            <w:pPr>
              <w:jc w:val="both"/>
              <w:rPr>
                <w:rFonts w:ascii="Arial" w:hAnsi="Arial"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10" w:type="dxa"/>
          </w:tcPr>
          <w:p>
            <w:pPr>
              <w:jc w:val="both"/>
              <w:rPr>
                <w:rFonts w:ascii="Arial" w:hAnsi="Arial" w:eastAsia="Times New Roman"/>
                <w:b/>
                <w:lang w:val="en-US" w:eastAsia="zh-CN"/>
              </w:rPr>
            </w:pPr>
            <w:r>
              <w:rPr>
                <w:rFonts w:ascii="Arial" w:hAnsi="Arial" w:eastAsia="Times New Roman"/>
                <w:b/>
                <w:lang w:val="en-US" w:eastAsia="zh-CN"/>
              </w:rPr>
              <w:t>&gt;&gt;&gt; SUPI</w:t>
            </w:r>
          </w:p>
        </w:tc>
        <w:tc>
          <w:tcPr>
            <w:tcW w:w="613" w:type="dxa"/>
          </w:tcPr>
          <w:p>
            <w:pPr>
              <w:jc w:val="both"/>
              <w:rPr>
                <w:rFonts w:ascii="Arial" w:hAnsi="Arial" w:eastAsia="Times New Roman"/>
                <w:lang w:val="en-US" w:eastAsia="zh-CN"/>
              </w:rPr>
            </w:pPr>
            <w:r>
              <w:rPr>
                <w:rFonts w:ascii="Arial" w:hAnsi="Arial" w:eastAsia="Times New Roman"/>
                <w:lang w:val="en-US" w:eastAsia="zh-CN"/>
              </w:rPr>
              <w:t>O</w:t>
            </w:r>
          </w:p>
        </w:tc>
        <w:tc>
          <w:tcPr>
            <w:tcW w:w="5808" w:type="dxa"/>
          </w:tcPr>
          <w:p>
            <w:pPr>
              <w:jc w:val="both"/>
              <w:rPr>
                <w:rFonts w:ascii="Arial" w:hAnsi="Arial" w:eastAsia="Times New Roman"/>
                <w:lang w:eastAsia="zh-CN"/>
              </w:rPr>
            </w:pPr>
            <w:r>
              <w:rPr>
                <w:rFonts w:ascii="Arial" w:hAnsi="Arial" w:eastAsia="Times New Roman"/>
                <w:lang w:val="en-US" w:eastAsia="zh-CN"/>
              </w:rPr>
              <w:t xml:space="preserve">A SUPI containing a network-specific identifier that takes the form of a Network Access Identifier (NAI) using the NAI RFC 7542 [20] based user identification as defined in TS 23.003 [19] clause 28.2.2. The realm part of the NAI </w:t>
            </w:r>
            <w:r>
              <w:rPr>
                <w:rFonts w:ascii="Arial" w:hAnsi="Arial" w:eastAsia="Times New Roman"/>
                <w:highlight w:val="yellow"/>
                <w:lang w:val="en-US" w:eastAsia="zh-CN"/>
              </w:rPr>
              <w:t>may include the NID</w:t>
            </w:r>
            <w:r>
              <w:rPr>
                <w:rFonts w:ascii="Arial" w:hAnsi="Arial" w:eastAsia="Times New Roman"/>
                <w:lang w:val="en-US" w:eastAsia="zh-CN"/>
              </w:rPr>
              <w:t xml:space="preserve"> of the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10" w:type="dxa"/>
          </w:tcPr>
          <w:p>
            <w:pPr>
              <w:jc w:val="both"/>
              <w:rPr>
                <w:rFonts w:ascii="Arial" w:hAnsi="Arial" w:eastAsia="Times New Roman"/>
                <w:b/>
                <w:lang w:val="en-US" w:eastAsia="zh-CN"/>
              </w:rPr>
            </w:pPr>
            <w:r>
              <w:rPr>
                <w:rFonts w:ascii="Arial" w:hAnsi="Arial" w:eastAsia="Times New Roman"/>
                <w:b/>
                <w:lang w:val="en-US" w:eastAsia="zh-CN"/>
              </w:rPr>
              <w:t>&gt;&gt;&gt;</w:t>
            </w:r>
            <w:r>
              <w:rPr>
                <w:rFonts w:ascii="Batang" w:hAnsi="Batang" w:eastAsia="Helvetica"/>
                <w:b/>
              </w:rPr>
              <w:t xml:space="preserve"> </w:t>
            </w:r>
            <w:r>
              <w:rPr>
                <w:rFonts w:ascii="Arial" w:hAnsi="Arial" w:eastAsia="Times New Roman"/>
                <w:b/>
                <w:lang w:val="en-US" w:eastAsia="zh-CN"/>
              </w:rPr>
              <w:t>Credentials</w:t>
            </w:r>
          </w:p>
        </w:tc>
        <w:tc>
          <w:tcPr>
            <w:tcW w:w="613" w:type="dxa"/>
          </w:tcPr>
          <w:p>
            <w:pPr>
              <w:jc w:val="both"/>
              <w:rPr>
                <w:rFonts w:ascii="Arial" w:hAnsi="Arial" w:eastAsia="Times New Roman"/>
                <w:lang w:val="en-US" w:eastAsia="zh-CN"/>
              </w:rPr>
            </w:pPr>
            <w:r>
              <w:rPr>
                <w:rFonts w:ascii="Arial" w:hAnsi="Arial" w:eastAsia="Times New Roman"/>
                <w:lang w:val="en-US" w:eastAsia="zh-CN"/>
              </w:rPr>
              <w:t>O</w:t>
            </w:r>
          </w:p>
        </w:tc>
        <w:tc>
          <w:tcPr>
            <w:tcW w:w="5808" w:type="dxa"/>
          </w:tcPr>
          <w:p>
            <w:pPr>
              <w:jc w:val="both"/>
              <w:rPr>
                <w:rFonts w:ascii="Arial" w:hAnsi="Arial" w:eastAsia="Times New Roman"/>
                <w:lang w:val="en-US" w:eastAsia="zh-CN"/>
              </w:rPr>
            </w:pPr>
            <w:r>
              <w:rPr>
                <w:rFonts w:ascii="Arial" w:hAnsi="Arial" w:eastAsia="Times New Roman"/>
                <w:lang w:val="en-US" w:eastAsia="zh-CN"/>
              </w:rPr>
              <w:t>To prevent UEs not supporting SNPNs from accessing the cell, e.g. in case the cell only provides access to non-public networks</w:t>
            </w:r>
          </w:p>
        </w:tc>
      </w:tr>
    </w:tbl>
    <w:p>
      <w:pPr>
        <w:rPr>
          <w:lang w:eastAsia="zh-CN"/>
        </w:rPr>
      </w:pPr>
    </w:p>
    <w:p>
      <w:pPr>
        <w:rPr>
          <w:lang w:eastAsia="zh-CN"/>
        </w:rPr>
      </w:pPr>
    </w:p>
    <w:p>
      <w:pPr>
        <w:pStyle w:val="3"/>
        <w:numPr>
          <w:numId w:val="0"/>
        </w:numPr>
        <w:ind w:right="200" w:rightChars="100"/>
        <w:rPr>
          <w:lang w:val="en-US" w:eastAsia="zh-CN"/>
        </w:rPr>
      </w:pPr>
      <w:r>
        <w:rPr>
          <w:rFonts w:hint="default"/>
          <w:lang w:val="en-US" w:eastAsia="zh-CN"/>
        </w:rPr>
        <w:t xml:space="preserve">2.3 </w:t>
      </w:r>
      <w:r>
        <w:rPr>
          <w:lang w:val="en-US" w:eastAsia="zh-CN"/>
        </w:rPr>
        <w:t xml:space="preserve">Network selection </w:t>
      </w:r>
    </w:p>
    <w:p>
      <w:pPr>
        <w:jc w:val="both"/>
        <w:rPr>
          <w:lang w:val="en-US" w:eastAsia="zh-CN"/>
        </w:rPr>
      </w:pPr>
      <w:r>
        <w:rPr>
          <w:lang w:val="en-US" w:eastAsia="zh-CN"/>
        </w:rPr>
        <w:t>SNPN-enabled UE operating in SNPN access mode only selects and registers with SNPNs over Uu and</w:t>
      </w:r>
      <w:r>
        <w:t xml:space="preserve"> </w:t>
      </w:r>
      <w:r>
        <w:rPr>
          <w:lang w:val="en-US" w:eastAsia="zh-CN"/>
        </w:rPr>
        <w:t>does not perform normal PLMN selection procedures for regular UE. UEs operating in SNPN access mode will read the available PLMN IDs and list of available NIDs from the broadcast system information and select the cell which PLMN ID and NID matches those in the UE’s NID within the NAI of the UE’s SUPI. And there are two modes for network selections:</w:t>
      </w:r>
    </w:p>
    <w:p>
      <w:pPr>
        <w:pStyle w:val="121"/>
        <w:numPr>
          <w:ilvl w:val="0"/>
          <w:numId w:val="16"/>
        </w:numPr>
        <w:jc w:val="both"/>
        <w:rPr>
          <w:lang w:eastAsia="zh-CN"/>
        </w:rPr>
      </w:pPr>
      <w:r>
        <w:rPr>
          <w:rFonts w:ascii="Times New Roman" w:hAnsi="Times New Roman"/>
          <w:sz w:val="20"/>
          <w:lang w:eastAsia="zh-CN"/>
        </w:rPr>
        <w:t>For automatic network selection</w:t>
      </w:r>
    </w:p>
    <w:p>
      <w:pPr>
        <w:pStyle w:val="121"/>
        <w:numPr>
          <w:ilvl w:val="1"/>
          <w:numId w:val="17"/>
        </w:numPr>
        <w:jc w:val="both"/>
        <w:rPr>
          <w:lang w:eastAsia="zh-CN"/>
        </w:rPr>
      </w:pPr>
      <w:r>
        <w:rPr>
          <w:rFonts w:ascii="Times New Roman" w:hAnsi="Times New Roman"/>
          <w:sz w:val="20"/>
          <w:lang w:eastAsia="zh-CN"/>
        </w:rPr>
        <w:t xml:space="preserve"> The UE selects and attempts to register with the available SNPN identified by a PLMN ID and NID for which the UE has SUPI and credentials. </w:t>
      </w:r>
    </w:p>
    <w:p>
      <w:pPr>
        <w:pStyle w:val="121"/>
        <w:numPr>
          <w:ilvl w:val="0"/>
          <w:numId w:val="16"/>
        </w:numPr>
        <w:jc w:val="both"/>
        <w:rPr>
          <w:lang w:eastAsia="zh-CN"/>
        </w:rPr>
      </w:pPr>
      <w:r>
        <w:rPr>
          <w:rFonts w:ascii="Times New Roman" w:hAnsi="Times New Roman"/>
          <w:sz w:val="20"/>
          <w:lang w:eastAsia="zh-CN"/>
        </w:rPr>
        <w:t>For manual network selection</w:t>
      </w:r>
    </w:p>
    <w:p>
      <w:pPr>
        <w:pStyle w:val="121"/>
        <w:numPr>
          <w:ilvl w:val="1"/>
          <w:numId w:val="17"/>
        </w:numPr>
        <w:jc w:val="both"/>
        <w:rPr>
          <w:lang w:eastAsia="zh-CN"/>
        </w:rPr>
      </w:pPr>
      <w:r>
        <w:rPr>
          <w:rFonts w:ascii="Times New Roman" w:hAnsi="Times New Roman"/>
          <w:sz w:val="20"/>
          <w:lang w:eastAsia="zh-CN"/>
        </w:rPr>
        <w:t xml:space="preserve"> UEs operating in SNPN access mode provide to the user the list of NIDs and related human-readable names (if available) of the available SNPNs the UE has respective SUPI and credentials for.</w:t>
      </w:r>
    </w:p>
    <w:p>
      <w:pPr>
        <w:jc w:val="both"/>
        <w:rPr>
          <w:lang w:val="en-US" w:eastAsia="zh-CN"/>
        </w:rPr>
      </w:pPr>
      <w:r>
        <w:rPr>
          <w:lang w:val="en-US" w:eastAsia="zh-CN"/>
        </w:rPr>
        <w:t>Although that the selection of a specific SNPN is a non-AS procedure which is similar to that of PLMN selection, there are still some impacts on RAN, e.g. it requires that UE reports detected NPN-IDs to UE NAS for UE-NAS selection of an NPN-ID. This will demand the specification modification on procedures for PLMN selection, cell selection and re-selection procedure for SNPN.</w:t>
      </w:r>
    </w:p>
    <w:p>
      <w:pPr>
        <w:jc w:val="both"/>
        <w:rPr>
          <w:b/>
          <w:lang w:val="en-US" w:eastAsia="zh-CN"/>
        </w:rPr>
      </w:pPr>
      <w:r>
        <w:rPr>
          <w:b/>
          <w:lang w:val="en-US" w:eastAsia="zh-CN"/>
        </w:rPr>
        <w:t xml:space="preserve">Observation </w:t>
      </w:r>
      <w:r>
        <w:rPr>
          <w:rFonts w:hint="default"/>
          <w:b/>
          <w:lang w:val="en-US" w:eastAsia="zh-CN"/>
        </w:rPr>
        <w:t>4</w:t>
      </w:r>
      <w:r>
        <w:rPr>
          <w:b/>
          <w:lang w:val="en-US" w:eastAsia="zh-CN"/>
        </w:rPr>
        <w:t>: the selection of a specific SNPN will introduce some impacts on RAN, e.g., it requires that UE reports detected NPN-IDs to UE NAS for UE-NAS selection of an NPN-ID. This will demand the specification modification on procedures for PLMN selection, cell selection and re-selection procedure for SNPN in 38.304.</w:t>
      </w:r>
    </w:p>
    <w:p>
      <w:pPr>
        <w:jc w:val="both"/>
        <w:rPr>
          <w:lang w:val="en-US" w:eastAsia="zh-CN"/>
        </w:rPr>
      </w:pPr>
      <w:r>
        <w:rPr>
          <w:lang w:val="en-US" w:eastAsia="zh-CN"/>
        </w:rPr>
        <w:t>As required from SA2, when a UE performs Initial Registration to an SNPN, the UE shall indicate the selected NID and the corresponding PLMN ID to gNB for notification of the selected PLMN ID and NID to the AMF. From RAN2 perspective, a reasonable way is that t</w:t>
      </w:r>
      <w:r>
        <w:rPr>
          <w:rFonts w:hint="eastAsia"/>
          <w:lang w:val="en-US" w:eastAsia="zh-CN"/>
        </w:rPr>
        <w:t xml:space="preserve">he UE should reports </w:t>
      </w:r>
      <w:r>
        <w:rPr>
          <w:lang w:val="en-US" w:eastAsia="zh-CN"/>
        </w:rPr>
        <w:t xml:space="preserve">the selected NID and the corresponding PLMN ID to gNB </w:t>
      </w:r>
      <w:r>
        <w:rPr>
          <w:rFonts w:hint="eastAsia"/>
          <w:lang w:val="en-US" w:eastAsia="zh-CN"/>
        </w:rPr>
        <w:t xml:space="preserve">in message </w:t>
      </w:r>
      <w:r>
        <w:rPr>
          <w:b/>
        </w:rPr>
        <w:t>RRCSetupComplete</w:t>
      </w:r>
      <w:r>
        <w:rPr>
          <w:rFonts w:hint="eastAsia"/>
          <w:lang w:val="en-US" w:eastAsia="zh-CN"/>
        </w:rPr>
        <w:t>.</w:t>
      </w:r>
    </w:p>
    <w:p>
      <w:pPr>
        <w:jc w:val="both"/>
        <w:rPr>
          <w:b/>
          <w:lang w:val="en-US" w:eastAsia="zh-CN"/>
        </w:rPr>
      </w:pPr>
      <w:r>
        <w:rPr>
          <w:b/>
          <w:lang w:val="en-US" w:eastAsia="zh-CN"/>
        </w:rPr>
        <w:t xml:space="preserve">Observation </w:t>
      </w:r>
      <w:r>
        <w:rPr>
          <w:rFonts w:hint="default"/>
          <w:b/>
          <w:lang w:val="en-US" w:eastAsia="zh-CN"/>
        </w:rPr>
        <w:t>5</w:t>
      </w:r>
      <w:r>
        <w:rPr>
          <w:b/>
          <w:lang w:val="en-US" w:eastAsia="zh-CN"/>
        </w:rPr>
        <w:t xml:space="preserve">: From RAN2 perspective, a reasonable way is that the UE should reports the selected NID and the corresponding PLMN ID to gNB in message </w:t>
      </w:r>
      <w:r>
        <w:rPr>
          <w:b/>
        </w:rPr>
        <w:t xml:space="preserve">RRCSetupComplete </w:t>
      </w:r>
      <w:r>
        <w:rPr>
          <w:b/>
          <w:lang w:val="en-US" w:eastAsia="zh-CN"/>
        </w:rPr>
        <w:t>for notification of the selected PLMN ID and NID to the AMF.</w:t>
      </w:r>
    </w:p>
    <w:p>
      <w:pPr>
        <w:jc w:val="both"/>
        <w:rPr>
          <w:lang w:val="en-US" w:eastAsia="zh-CN"/>
        </w:rPr>
      </w:pPr>
    </w:p>
    <w:p>
      <w:pPr>
        <w:pStyle w:val="3"/>
        <w:numPr>
          <w:numId w:val="0"/>
        </w:numPr>
        <w:ind w:right="200" w:rightChars="100"/>
        <w:rPr>
          <w:lang w:val="en-US" w:eastAsia="zh-CN"/>
        </w:rPr>
      </w:pPr>
      <w:r>
        <w:rPr>
          <w:rFonts w:hint="default"/>
          <w:lang w:val="en-US" w:eastAsia="zh-CN"/>
        </w:rPr>
        <w:t xml:space="preserve">2.4 </w:t>
      </w:r>
      <w:r>
        <w:rPr>
          <w:lang w:val="en-US" w:eastAsia="zh-CN"/>
        </w:rPr>
        <w:t>Network access control</w:t>
      </w:r>
    </w:p>
    <w:p>
      <w:pPr>
        <w:pStyle w:val="4"/>
        <w:numPr>
          <w:numId w:val="0"/>
        </w:numPr>
        <w:ind w:right="0" w:rightChars="0"/>
        <w:rPr>
          <w:rFonts w:eastAsia="Times New Roman"/>
          <w:sz w:val="22"/>
          <w:lang w:val="zh-CN"/>
        </w:rPr>
      </w:pPr>
      <w:r>
        <w:rPr>
          <w:rFonts w:hint="default" w:eastAsia="Times New Roman"/>
          <w:sz w:val="22"/>
          <w:lang w:val="en-US"/>
        </w:rPr>
        <w:t xml:space="preserve">2.4.1 </w:t>
      </w:r>
      <w:r>
        <w:rPr>
          <w:rFonts w:eastAsia="Times New Roman"/>
          <w:sz w:val="22"/>
          <w:lang w:val="zh-CN"/>
        </w:rPr>
        <w:t>Access Control to SNPN cell for unauthorized UE(s)</w:t>
      </w:r>
    </w:p>
    <w:p>
      <w:pPr>
        <w:pStyle w:val="121"/>
        <w:numPr>
          <w:ilvl w:val="0"/>
          <w:numId w:val="18"/>
        </w:numPr>
        <w:jc w:val="both"/>
        <w:rPr>
          <w:lang w:eastAsia="zh-CN"/>
        </w:rPr>
      </w:pPr>
      <w:r>
        <w:rPr>
          <w:rFonts w:ascii="Times New Roman" w:hAnsi="Times New Roman"/>
          <w:sz w:val="20"/>
          <w:lang w:eastAsia="zh-CN"/>
        </w:rP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pPr>
        <w:pStyle w:val="121"/>
        <w:numPr>
          <w:ilvl w:val="0"/>
          <w:numId w:val="18"/>
        </w:numPr>
        <w:jc w:val="both"/>
        <w:rPr>
          <w:lang w:eastAsia="zh-CN"/>
        </w:rPr>
      </w:pPr>
      <w:r>
        <w:rPr>
          <w:rFonts w:ascii="Times New Roman" w:hAnsi="Times New Roman"/>
          <w:sz w:val="20"/>
          <w:lang w:eastAsia="zh-CN"/>
        </w:rP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pPr>
        <w:jc w:val="both"/>
        <w:rPr>
          <w:lang w:val="en-US" w:eastAsia="zh-CN"/>
        </w:rPr>
      </w:pPr>
      <w:r>
        <w:rPr>
          <w:lang w:eastAsia="zh-CN"/>
        </w:rPr>
        <w:t xml:space="preserve">In case 1), </w:t>
      </w:r>
      <w:r>
        <w:rPr>
          <w:lang w:val="en-US" w:eastAsia="zh-CN"/>
        </w:rPr>
        <w:t>the NPN-ID broadcasted could be locally managed, which may cause the NPN-ID confusion between SNPNs hosted by different operators. UE operating in SNPN access mode attempts to perform network selection and register in SNPN for which UE has SUPI and credentials. The UE should reports the full NPN-ID or NPN-ID index in message RRCSetupComplete as similar as PLMN ID and also human-readable network name, which is used to distinguish the same local managed NPN-ID, to gNB for selecting suitable AMF.</w:t>
      </w:r>
    </w:p>
    <w:p>
      <w:pPr>
        <w:jc w:val="both"/>
        <w:rPr>
          <w:b/>
          <w:lang w:val="en-US" w:eastAsia="zh-CN"/>
        </w:rPr>
      </w:pPr>
      <w:r>
        <w:rPr>
          <w:b/>
          <w:lang w:val="en-US" w:eastAsia="zh-CN"/>
        </w:rPr>
        <w:t xml:space="preserve">Proposal </w:t>
      </w:r>
      <w:r>
        <w:rPr>
          <w:rFonts w:hint="default"/>
          <w:b/>
          <w:lang w:val="en-US" w:eastAsia="zh-CN"/>
        </w:rPr>
        <w:t>4</w:t>
      </w:r>
      <w:r>
        <w:rPr>
          <w:b/>
          <w:lang w:val="en-US" w:eastAsia="zh-CN"/>
        </w:rPr>
        <w:t>: The full NPN-ID or NPN-ID index and human-readable network name may need to be reported to gNB for selecting suitable AMF selection during the network selection procedure as similar as PLMN ID.</w:t>
      </w:r>
    </w:p>
    <w:p>
      <w:pPr>
        <w:pStyle w:val="4"/>
        <w:numPr>
          <w:numId w:val="0"/>
        </w:numPr>
        <w:ind w:right="0" w:rightChars="0"/>
        <w:rPr>
          <w:rFonts w:hint="default" w:eastAsia="Times New Roman"/>
          <w:sz w:val="22"/>
          <w:lang w:val="en-US"/>
        </w:rPr>
      </w:pPr>
    </w:p>
    <w:p>
      <w:pPr>
        <w:pStyle w:val="4"/>
        <w:numPr>
          <w:numId w:val="0"/>
        </w:numPr>
        <w:ind w:right="0" w:rightChars="0"/>
        <w:rPr>
          <w:rFonts w:eastAsia="Times New Roman"/>
          <w:sz w:val="22"/>
          <w:lang w:val="zh-CN"/>
        </w:rPr>
      </w:pPr>
      <w:r>
        <w:rPr>
          <w:rFonts w:hint="default" w:eastAsia="Times New Roman"/>
          <w:sz w:val="22"/>
          <w:lang w:val="en-US"/>
        </w:rPr>
        <w:t xml:space="preserve">2.4.2 </w:t>
      </w:r>
      <w:r>
        <w:rPr>
          <w:rFonts w:eastAsia="Times New Roman"/>
          <w:sz w:val="22"/>
          <w:lang w:val="zh-CN"/>
        </w:rPr>
        <w:t>Access Control to SNPN cell for authorized UE(s)</w:t>
      </w:r>
    </w:p>
    <w:p>
      <w:pPr>
        <w:jc w:val="both"/>
        <w:rPr>
          <w:lang w:val="en-US" w:eastAsia="zh-CN"/>
        </w:rPr>
      </w:pPr>
      <w:r>
        <w:rPr>
          <w:lang w:val="en-US" w:eastAsia="zh-CN"/>
        </w:rPr>
        <w:t>In order to prevent access to SNPNs for authorized UE(s) in case of network congestion/overload, Unified Access Control information is configured per non-public network (i.e. as part of the subscription information that the UE has for a given non-public network).</w:t>
      </w:r>
    </w:p>
    <w:p>
      <w:pPr>
        <w:rPr>
          <w:lang w:eastAsia="zh-CN"/>
        </w:rPr>
      </w:pPr>
      <w:r>
        <w:rPr>
          <w:rFonts w:hint="eastAsia"/>
          <w:lang w:eastAsia="zh-CN"/>
        </w:rPr>
        <w:t xml:space="preserve">In order to relieve the </w:t>
      </w:r>
      <w:r>
        <w:rPr>
          <w:lang w:eastAsia="zh-CN"/>
        </w:rPr>
        <w:t>traffic</w:t>
      </w:r>
      <w:r>
        <w:rPr>
          <w:rFonts w:hint="eastAsia"/>
          <w:lang w:eastAsia="zh-CN"/>
        </w:rPr>
        <w:t xml:space="preserve"> congestion in cell, the unified access control also should apply to SNPN network with the same </w:t>
      </w:r>
      <w:r>
        <w:rPr>
          <w:lang w:eastAsia="zh-CN"/>
        </w:rPr>
        <w:t>mechanism</w:t>
      </w:r>
      <w:r>
        <w:rPr>
          <w:rFonts w:hint="eastAsia"/>
          <w:lang w:eastAsia="zh-CN"/>
        </w:rPr>
        <w:t xml:space="preserve"> as </w:t>
      </w:r>
      <w:r>
        <w:rPr>
          <w:lang w:eastAsia="zh-CN"/>
        </w:rPr>
        <w:t xml:space="preserve">public </w:t>
      </w:r>
      <w:r>
        <w:rPr>
          <w:rFonts w:hint="eastAsia"/>
          <w:lang w:eastAsia="zh-CN"/>
        </w:rPr>
        <w:t xml:space="preserve">PLMN network. </w:t>
      </w:r>
      <w:r>
        <w:rPr>
          <w:lang w:eastAsia="zh-CN"/>
        </w:rPr>
        <w:t>T</w:t>
      </w:r>
      <w:r>
        <w:rPr>
          <w:rFonts w:hint="eastAsia"/>
          <w:lang w:eastAsia="zh-CN"/>
        </w:rPr>
        <w:t xml:space="preserve">he </w:t>
      </w:r>
      <w:r>
        <w:rPr>
          <w:lang w:eastAsia="zh-CN"/>
        </w:rPr>
        <w:t>separate</w:t>
      </w:r>
      <w:r>
        <w:rPr>
          <w:rFonts w:hint="eastAsia"/>
          <w:lang w:eastAsia="zh-CN"/>
        </w:rPr>
        <w:t xml:space="preserve"> parameters on UAC for standalone non-public networks may be introduced to </w:t>
      </w:r>
      <w:r>
        <w:rPr>
          <w:b/>
        </w:rPr>
        <w:t>uac-BarringInfo</w:t>
      </w:r>
      <w:r>
        <w:rPr>
          <w:rFonts w:hint="eastAsia"/>
          <w:lang w:eastAsia="zh-CN"/>
        </w:rPr>
        <w:t xml:space="preserve"> in </w:t>
      </w:r>
      <w:r>
        <w:rPr>
          <w:rFonts w:hint="eastAsia"/>
          <w:b/>
          <w:lang w:eastAsia="zh-CN"/>
        </w:rPr>
        <w:t xml:space="preserve">SIB1 </w:t>
      </w:r>
      <w:r>
        <w:rPr>
          <w:rFonts w:hint="eastAsia"/>
          <w:lang w:eastAsia="zh-CN"/>
        </w:rPr>
        <w:t>to define the UAC barring information.</w:t>
      </w:r>
    </w:p>
    <w:p>
      <w:pPr>
        <w:rPr>
          <w:b/>
          <w:lang w:val="en-US" w:eastAsia="zh-CN"/>
        </w:rPr>
      </w:pPr>
      <w:r>
        <w:rPr>
          <w:b/>
          <w:lang w:val="en-US" w:eastAsia="zh-CN"/>
        </w:rPr>
        <w:t>Proposal</w:t>
      </w:r>
      <w:r>
        <w:rPr>
          <w:rFonts w:hint="eastAsia"/>
          <w:b/>
          <w:lang w:val="en-US" w:eastAsia="zh-CN"/>
        </w:rPr>
        <w:t xml:space="preserve"> </w:t>
      </w:r>
      <w:r>
        <w:rPr>
          <w:rFonts w:hint="default"/>
          <w:b/>
          <w:lang w:val="en-US" w:eastAsia="zh-CN"/>
        </w:rPr>
        <w:t>5</w:t>
      </w:r>
      <w:r>
        <w:rPr>
          <w:rFonts w:hint="eastAsia"/>
          <w:b/>
          <w:lang w:val="en-US" w:eastAsia="zh-CN"/>
        </w:rPr>
        <w:t xml:space="preserve">: </w:t>
      </w:r>
      <w:r>
        <w:rPr>
          <w:b/>
          <w:lang w:val="en-US" w:eastAsia="zh-CN"/>
        </w:rPr>
        <w:t>T</w:t>
      </w:r>
      <w:r>
        <w:rPr>
          <w:rFonts w:hint="eastAsia"/>
          <w:b/>
          <w:lang w:val="en-US" w:eastAsia="zh-CN"/>
        </w:rPr>
        <w:t xml:space="preserve">he </w:t>
      </w:r>
      <w:r>
        <w:rPr>
          <w:b/>
          <w:lang w:val="en-US" w:eastAsia="zh-CN"/>
        </w:rPr>
        <w:t>separate</w:t>
      </w:r>
      <w:r>
        <w:rPr>
          <w:rFonts w:hint="eastAsia"/>
          <w:b/>
          <w:lang w:val="en-US" w:eastAsia="zh-CN"/>
        </w:rPr>
        <w:t xml:space="preserve"> parameter on UAC for standalone non-public networks may be introduced to </w:t>
      </w:r>
      <w:r>
        <w:rPr>
          <w:b/>
          <w:lang w:val="en-US" w:eastAsia="zh-CN"/>
        </w:rPr>
        <w:t>uac-BarringInfo</w:t>
      </w:r>
      <w:r>
        <w:rPr>
          <w:rFonts w:hint="eastAsia"/>
          <w:b/>
          <w:lang w:val="en-US" w:eastAsia="zh-CN"/>
        </w:rPr>
        <w:t xml:space="preserve"> in SIB1 to define the UAC barring information for SNPN.</w:t>
      </w:r>
    </w:p>
    <w:p>
      <w:pPr>
        <w:jc w:val="both"/>
        <w:rPr>
          <w:rFonts w:ascii="Arial" w:hAnsi="Arial" w:eastAsia="Times New Roman" w:cs="Times New Roman"/>
          <w:sz w:val="22"/>
          <w:szCs w:val="22"/>
          <w:lang w:val="en-US" w:eastAsia="zh-CN" w:bidi="ar-SA"/>
        </w:rPr>
      </w:pPr>
    </w:p>
    <w:p>
      <w:pPr>
        <w:pStyle w:val="3"/>
        <w:numPr>
          <w:ilvl w:val="0"/>
          <w:numId w:val="0"/>
        </w:numPr>
        <w:ind w:right="200" w:rightChars="100"/>
        <w:rPr>
          <w:rFonts w:hint="default" w:ascii="Arial" w:hAnsi="Arial"/>
          <w:szCs w:val="22"/>
          <w:lang w:val="en-US" w:eastAsia="zh-CN"/>
        </w:rPr>
      </w:pPr>
      <w:r>
        <w:rPr>
          <w:rFonts w:hint="default" w:ascii="Arial" w:hAnsi="Arial"/>
          <w:szCs w:val="22"/>
          <w:lang w:val="en-US" w:eastAsia="zh-CN"/>
        </w:rPr>
        <w:t>2.5 Cell (re-)selection in SNPN access mode</w:t>
      </w:r>
    </w:p>
    <w:p>
      <w:pPr>
        <w:rPr>
          <w:lang w:eastAsia="zh-CN"/>
        </w:rPr>
      </w:pPr>
      <w:r>
        <w:rPr>
          <w:lang w:eastAsia="zh-CN"/>
        </w:rPr>
        <w:t>UEs operating in SNPN access mode only select cells and networks broadcasting both PLMN ID and NID of the selected SNPN.</w:t>
      </w:r>
    </w:p>
    <w:p>
      <w:pPr>
        <w:rPr>
          <w:b/>
          <w:lang w:val="en-US" w:eastAsia="zh-CN"/>
        </w:rPr>
      </w:pPr>
      <w:r>
        <w:rPr>
          <w:rFonts w:hint="eastAsia"/>
          <w:lang w:val="en-US" w:eastAsia="zh-CN"/>
        </w:rPr>
        <w:t xml:space="preserve">UE supporting the SNPN reads the system </w:t>
      </w:r>
      <w:r>
        <w:rPr>
          <w:lang w:val="en-US" w:eastAsia="zh-CN"/>
        </w:rPr>
        <w:t>information</w:t>
      </w:r>
      <w:r>
        <w:rPr>
          <w:rFonts w:hint="eastAsia"/>
          <w:lang w:val="en-US" w:eastAsia="zh-CN"/>
        </w:rPr>
        <w:t xml:space="preserve"> for NPN-ID and does the cell selection or reselection procedure within the same SNPN. And the frequency information could be </w:t>
      </w:r>
      <w:r>
        <w:rPr>
          <w:lang w:val="en-US" w:eastAsia="zh-CN"/>
        </w:rPr>
        <w:t>reserve</w:t>
      </w:r>
      <w:r>
        <w:rPr>
          <w:rFonts w:hint="eastAsia"/>
          <w:lang w:val="en-US" w:eastAsia="zh-CN"/>
        </w:rPr>
        <w:t xml:space="preserve">d for SNPN and listed in the other SI as the assistant information for the reselection of the SNPN cells which already specified in R15. </w:t>
      </w:r>
    </w:p>
    <w:p>
      <w:pPr>
        <w:pStyle w:val="3"/>
        <w:numPr>
          <w:numId w:val="0"/>
        </w:numPr>
        <w:ind w:right="200" w:rightChars="100"/>
        <w:rPr>
          <w:lang w:val="en-US" w:eastAsia="zh-CN"/>
        </w:rPr>
      </w:pPr>
      <w:r>
        <w:rPr>
          <w:rFonts w:hint="default"/>
          <w:lang w:val="en-US" w:eastAsia="zh-CN"/>
        </w:rPr>
        <w:t xml:space="preserve">2.6 </w:t>
      </w:r>
      <w:r>
        <w:rPr>
          <w:lang w:val="en-US" w:eastAsia="zh-CN"/>
        </w:rPr>
        <w:t>Connected Mode Mobility</w:t>
      </w:r>
    </w:p>
    <w:p>
      <w:pPr>
        <w:rPr>
          <w:lang w:eastAsia="zh-CN"/>
        </w:rPr>
      </w:pPr>
      <w:r>
        <w:rPr>
          <w:rFonts w:hint="eastAsia"/>
          <w:lang w:eastAsia="zh-CN"/>
        </w:rPr>
        <w:t>Since the solution #1 is a stand alone network, n</w:t>
      </w:r>
      <w:r>
        <w:t>ormal measurement and mobility procedures</w:t>
      </w:r>
      <w:r>
        <w:rPr>
          <w:rFonts w:hint="eastAsia"/>
          <w:lang w:eastAsia="zh-CN"/>
        </w:rPr>
        <w:t xml:space="preserve"> could be </w:t>
      </w:r>
      <w:r>
        <w:rPr>
          <w:lang w:eastAsia="zh-CN"/>
        </w:rPr>
        <w:t>re-</w:t>
      </w:r>
      <w:r>
        <w:rPr>
          <w:rFonts w:hint="eastAsia"/>
          <w:lang w:eastAsia="zh-CN"/>
        </w:rPr>
        <w:t xml:space="preserve">used for the handover within coverage of the same NPN-ID. </w:t>
      </w:r>
      <w:r>
        <w:rPr>
          <w:lang w:eastAsia="zh-CN"/>
        </w:rPr>
        <w:t>T</w:t>
      </w:r>
      <w:r>
        <w:rPr>
          <w:rFonts w:hint="eastAsia"/>
          <w:lang w:eastAsia="zh-CN"/>
        </w:rPr>
        <w:t xml:space="preserve">he UE working in SNPN access mode does not select the normal PLMN to camp on or can not handover from SNPN to normal PLMN network.  </w:t>
      </w:r>
      <w:r>
        <w:rPr>
          <w:lang w:eastAsia="zh-CN"/>
        </w:rPr>
        <w:t>I</w:t>
      </w:r>
      <w:r>
        <w:rPr>
          <w:rFonts w:hint="eastAsia"/>
          <w:lang w:eastAsia="zh-CN"/>
        </w:rPr>
        <w:t xml:space="preserve">n the network deployment, the SNPNs operated by different operator may utilize the same frequency and it is not possible to coordinate different SNPN operators to plan PCI </w:t>
      </w:r>
      <w:r>
        <w:rPr>
          <w:rFonts w:hint="default"/>
          <w:lang w:val="en-US" w:eastAsia="zh-CN"/>
        </w:rPr>
        <w:t>partition</w:t>
      </w:r>
      <w:r>
        <w:rPr>
          <w:rFonts w:hint="eastAsia"/>
          <w:lang w:eastAsia="zh-CN"/>
        </w:rPr>
        <w:t xml:space="preserve">. </w:t>
      </w:r>
      <w:r>
        <w:rPr>
          <w:lang w:eastAsia="zh-CN"/>
        </w:rPr>
        <w:t>F</w:t>
      </w:r>
      <w:r>
        <w:rPr>
          <w:rFonts w:hint="eastAsia"/>
          <w:lang w:eastAsia="zh-CN"/>
        </w:rPr>
        <w:t>or intra-frequency HO within SNPNs, the additional information, i.e. NPN ID, could be provided in the HO measurement reports and gNB could evaluate this assistant information before making the HO decision.</w:t>
      </w:r>
    </w:p>
    <w:p>
      <w:pPr>
        <w:rPr>
          <w:b/>
          <w:lang w:val="en-US" w:eastAsia="zh-CN"/>
        </w:rPr>
      </w:pPr>
      <w:r>
        <w:rPr>
          <w:b/>
          <w:lang w:val="en-US" w:eastAsia="zh-CN"/>
        </w:rPr>
        <w:t>Proposal</w:t>
      </w:r>
      <w:r>
        <w:rPr>
          <w:rFonts w:hint="eastAsia"/>
          <w:b/>
          <w:lang w:val="en-US" w:eastAsia="zh-CN"/>
        </w:rPr>
        <w:t xml:space="preserve"> </w:t>
      </w:r>
      <w:r>
        <w:rPr>
          <w:rFonts w:hint="default"/>
          <w:b/>
          <w:lang w:val="en-US" w:eastAsia="zh-CN"/>
        </w:rPr>
        <w:t>6</w:t>
      </w:r>
      <w:r>
        <w:rPr>
          <w:rFonts w:hint="eastAsia"/>
          <w:b/>
          <w:lang w:val="en-US" w:eastAsia="zh-CN"/>
        </w:rPr>
        <w:t>: The additional information, i.e. NPN ID, may be provided in the HO measurement report and gNB in NPN could evaluate this assistant information before making the HO decision.</w:t>
      </w:r>
    </w:p>
    <w:p>
      <w:pPr>
        <w:jc w:val="both"/>
        <w:rPr>
          <w:lang w:eastAsia="zh-CN"/>
        </w:rPr>
      </w:pPr>
    </w:p>
    <w:p>
      <w:pPr>
        <w:pStyle w:val="2"/>
        <w:tabs>
          <w:tab w:val="left" w:pos="420"/>
        </w:tabs>
        <w:spacing w:line="276" w:lineRule="auto"/>
        <w:ind w:left="420" w:hanging="420"/>
        <w:jc w:val="both"/>
      </w:pPr>
      <w:r>
        <w:t>Conclusion</w:t>
      </w:r>
    </w:p>
    <w:p>
      <w:pPr>
        <w:jc w:val="both"/>
        <w:rPr>
          <w:b/>
          <w:lang w:eastAsia="zh-CN"/>
        </w:rPr>
      </w:pPr>
      <w:r>
        <w:rPr>
          <w:b/>
          <w:lang w:eastAsia="zh-CN"/>
        </w:rPr>
        <w:t>Observation 1: In the case of sharing RAN in several SNPNs</w:t>
      </w:r>
      <w:r>
        <w:rPr>
          <w:rFonts w:hint="eastAsia"/>
          <w:b/>
          <w:lang w:eastAsia="zh-CN"/>
        </w:rPr>
        <w:t xml:space="preserve">, </w:t>
      </w:r>
      <w:r>
        <w:rPr>
          <w:b/>
          <w:lang w:eastAsia="zh-CN"/>
        </w:rPr>
        <w:t>multiple</w:t>
      </w:r>
      <w:r>
        <w:rPr>
          <w:rFonts w:hint="eastAsia"/>
          <w:b/>
          <w:lang w:eastAsia="zh-CN"/>
        </w:rPr>
        <w:t xml:space="preserve"> PLMN IDs or multiple NIDs associated with a PLMN ID could be configured per cell.</w:t>
      </w:r>
      <w:r>
        <w:rPr>
          <w:b/>
          <w:lang w:eastAsia="zh-CN"/>
        </w:rPr>
        <w:t xml:space="preserve"> I</w:t>
      </w:r>
      <w:r>
        <w:rPr>
          <w:rFonts w:hint="eastAsia"/>
          <w:b/>
          <w:lang w:eastAsia="zh-CN"/>
        </w:rPr>
        <w:t xml:space="preserve">t is essential that the available PLMN IDs and the list of NIDs per PLMN ID </w:t>
      </w:r>
      <w:r>
        <w:rPr>
          <w:b/>
          <w:lang w:eastAsia="zh-CN"/>
        </w:rPr>
        <w:t>should</w:t>
      </w:r>
      <w:r>
        <w:rPr>
          <w:rFonts w:hint="eastAsia"/>
          <w:b/>
          <w:lang w:eastAsia="zh-CN"/>
        </w:rPr>
        <w:t xml:space="preserve"> be broadcasted in SIB1.</w:t>
      </w:r>
    </w:p>
    <w:p>
      <w:pPr>
        <w:rPr>
          <w:b/>
          <w:lang w:eastAsia="zh-CN"/>
        </w:rPr>
      </w:pPr>
      <w:r>
        <w:rPr>
          <w:b/>
        </w:rPr>
        <w:t xml:space="preserve">Observation </w:t>
      </w:r>
      <w:r>
        <w:rPr>
          <w:rFonts w:hint="default"/>
          <w:b/>
          <w:lang w:val="en-US"/>
        </w:rPr>
        <w:t>2</w:t>
      </w:r>
      <w:r>
        <w:rPr>
          <w:b/>
        </w:rPr>
        <w:t xml:space="preserve">: </w:t>
      </w:r>
      <w:r>
        <w:rPr>
          <w:b/>
          <w:lang w:eastAsia="zh-CN"/>
        </w:rPr>
        <w:t>T</w:t>
      </w:r>
      <w:r>
        <w:rPr>
          <w:rFonts w:hint="eastAsia"/>
          <w:b/>
          <w:lang w:eastAsia="zh-CN"/>
        </w:rPr>
        <w:t xml:space="preserve">he parameter cellReservedForOtherUse with </w:t>
      </w:r>
      <w:r>
        <w:rPr>
          <w:b/>
          <w:lang w:eastAsia="zh-CN"/>
        </w:rPr>
        <w:t>“</w:t>
      </w:r>
      <w:r>
        <w:rPr>
          <w:rFonts w:hint="eastAsia"/>
          <w:b/>
          <w:lang w:eastAsia="zh-CN"/>
        </w:rPr>
        <w:t>true</w:t>
      </w:r>
      <w:r>
        <w:rPr>
          <w:b/>
          <w:lang w:eastAsia="zh-CN"/>
        </w:rPr>
        <w:t>”</w:t>
      </w:r>
      <w:r>
        <w:rPr>
          <w:rFonts w:hint="eastAsia"/>
          <w:b/>
          <w:lang w:eastAsia="zh-CN"/>
        </w:rPr>
        <w:t xml:space="preserve"> setting could</w:t>
      </w:r>
      <w:r>
        <w:rPr>
          <w:rFonts w:hint="eastAsia"/>
          <w:b/>
          <w:lang w:val="en-US" w:eastAsia="zh-CN"/>
        </w:rPr>
        <w:t xml:space="preserve"> </w:t>
      </w:r>
      <w:r>
        <w:rPr>
          <w:rFonts w:hint="eastAsia"/>
          <w:b/>
          <w:lang w:eastAsia="zh-CN"/>
        </w:rPr>
        <w:t>prevent the legacy UE or the UE not operating in SNPN access mode from attempting to access SNPN cells.</w:t>
      </w:r>
    </w:p>
    <w:p>
      <w:pPr>
        <w:rPr>
          <w:rFonts w:hint="eastAsia"/>
          <w:b/>
          <w:lang w:eastAsia="zh-CN"/>
        </w:rPr>
      </w:pPr>
      <w:r>
        <w:rPr>
          <w:b/>
          <w:lang w:eastAsia="zh-CN"/>
        </w:rPr>
        <w:t xml:space="preserve">Observation </w:t>
      </w:r>
      <w:r>
        <w:rPr>
          <w:rFonts w:hint="default"/>
          <w:b/>
          <w:lang w:val="en-US" w:eastAsia="zh-CN"/>
        </w:rPr>
        <w:t>3</w:t>
      </w:r>
      <w:r>
        <w:rPr>
          <w:b/>
          <w:lang w:eastAsia="zh-CN"/>
        </w:rPr>
        <w:t>: The UE operating in the SNPN access mode ignores cellReservedForOtherUse with “true” setting and does not treat this cell as barred. The UE operating in the SNPN access mode further checks that whether the cell is SNPN cell or not by reading NPN-ID broadcasted in SIB. Alternatively,</w:t>
      </w:r>
      <w:r>
        <w:rPr>
          <w:rFonts w:hint="eastAsia"/>
          <w:b/>
          <w:lang w:eastAsia="zh-CN"/>
        </w:rPr>
        <w:t xml:space="preserve"> to introduce one new parameter to explicitly indicate whether the cell is SNPN cell or not for SNPN supported UE.</w:t>
      </w:r>
    </w:p>
    <w:p>
      <w:pPr>
        <w:jc w:val="both"/>
        <w:rPr>
          <w:b/>
          <w:lang w:val="en-US" w:eastAsia="zh-CN"/>
        </w:rPr>
      </w:pPr>
      <w:r>
        <w:rPr>
          <w:b/>
          <w:lang w:val="en-US" w:eastAsia="zh-CN"/>
        </w:rPr>
        <w:t xml:space="preserve">Observation </w:t>
      </w:r>
      <w:r>
        <w:rPr>
          <w:rFonts w:hint="default"/>
          <w:b/>
          <w:lang w:val="en-US" w:eastAsia="zh-CN"/>
        </w:rPr>
        <w:t>4</w:t>
      </w:r>
      <w:r>
        <w:rPr>
          <w:b/>
          <w:lang w:val="en-US" w:eastAsia="zh-CN"/>
        </w:rPr>
        <w:t>: the selection of a specific SNPN will introduce some impacts on RAN, e.g., it requires that UE reports detected NPN-IDs to UE NAS for UE-NAS selection of an NPN-ID. This will demand the specification modification on procedures for PLMN selection, cell selection and re-selection procedure for SNPN in 38.304.</w:t>
      </w:r>
    </w:p>
    <w:p>
      <w:pPr>
        <w:jc w:val="both"/>
        <w:rPr>
          <w:b/>
          <w:lang w:val="en-US" w:eastAsia="zh-CN"/>
        </w:rPr>
      </w:pPr>
      <w:r>
        <w:rPr>
          <w:b/>
          <w:lang w:val="en-US" w:eastAsia="zh-CN"/>
        </w:rPr>
        <w:t xml:space="preserve">Observation </w:t>
      </w:r>
      <w:r>
        <w:rPr>
          <w:rFonts w:hint="default"/>
          <w:b/>
          <w:lang w:val="en-US" w:eastAsia="zh-CN"/>
        </w:rPr>
        <w:t>5</w:t>
      </w:r>
      <w:r>
        <w:rPr>
          <w:b/>
          <w:lang w:val="en-US" w:eastAsia="zh-CN"/>
        </w:rPr>
        <w:t xml:space="preserve">: From RAN2 perspective, a reasonable way is that the UE should reports the selected NID and the corresponding PLMN ID to gNB in message </w:t>
      </w:r>
      <w:r>
        <w:rPr>
          <w:b/>
        </w:rPr>
        <w:t xml:space="preserve">RRCSetupComplete </w:t>
      </w:r>
      <w:r>
        <w:rPr>
          <w:b/>
          <w:lang w:val="en-US" w:eastAsia="zh-CN"/>
        </w:rPr>
        <w:t>for notification of the selected PLMN ID and NID to the AMF.</w:t>
      </w:r>
    </w:p>
    <w:p>
      <w:pPr>
        <w:rPr>
          <w:rFonts w:hint="eastAsia"/>
          <w:b/>
          <w:lang w:eastAsia="zh-CN"/>
        </w:rPr>
      </w:pPr>
    </w:p>
    <w:p>
      <w:pPr>
        <w:rPr>
          <w:b/>
        </w:rPr>
      </w:pPr>
      <w:r>
        <w:rPr>
          <w:b/>
        </w:rPr>
        <w:t xml:space="preserve">Proposal </w:t>
      </w:r>
      <w:r>
        <w:rPr>
          <w:rFonts w:hint="default"/>
          <w:b/>
          <w:lang w:val="en-US"/>
        </w:rPr>
        <w:t>1</w:t>
      </w:r>
      <w:r>
        <w:rPr>
          <w:b/>
        </w:rPr>
        <w:t>: If RAN sharing is applied, then the CellReservedForOtherUse indicator can be ignored by Rel-16 non-SNPN UE and unauthorized SNPN UE. Or CellReservedForOtherUse indicator can be defined per-PLMN.</w:t>
      </w:r>
    </w:p>
    <w:p>
      <w:pPr>
        <w:rPr>
          <w:b/>
          <w:lang w:eastAsia="zh-CN"/>
        </w:rPr>
      </w:pPr>
      <w:r>
        <w:rPr>
          <w:rFonts w:hint="eastAsia"/>
          <w:b/>
          <w:lang w:eastAsia="zh-CN"/>
        </w:rPr>
        <w:t xml:space="preserve">Proposal </w:t>
      </w:r>
      <w:r>
        <w:rPr>
          <w:rFonts w:hint="default"/>
          <w:b/>
          <w:lang w:val="en-US" w:eastAsia="zh-CN"/>
        </w:rPr>
        <w:t>2</w:t>
      </w:r>
      <w:r>
        <w:rPr>
          <w:b/>
          <w:lang w:eastAsia="zh-CN"/>
        </w:rPr>
        <w:t>:</w:t>
      </w:r>
      <w:r>
        <w:rPr>
          <w:rFonts w:hint="eastAsia"/>
          <w:b/>
          <w:lang w:eastAsia="zh-CN"/>
        </w:rPr>
        <w:t xml:space="preserve"> RAN2 may need to consider that how to support the available PLMN IDs and the list of NIDs per PLMN ID </w:t>
      </w:r>
      <w:r>
        <w:rPr>
          <w:b/>
          <w:lang w:eastAsia="zh-CN"/>
        </w:rPr>
        <w:t>broadcast</w:t>
      </w:r>
      <w:r>
        <w:rPr>
          <w:rFonts w:hint="eastAsia"/>
          <w:b/>
          <w:lang w:eastAsia="zh-CN"/>
        </w:rPr>
        <w:t xml:space="preserve">ed in SIB1 and how to indicate whether the cell is SNPN cell or not for SNPN </w:t>
      </w:r>
      <w:r>
        <w:rPr>
          <w:b/>
          <w:lang w:eastAsia="zh-CN"/>
        </w:rPr>
        <w:t>supported</w:t>
      </w:r>
      <w:r>
        <w:rPr>
          <w:rFonts w:hint="eastAsia"/>
          <w:b/>
          <w:lang w:eastAsia="zh-CN"/>
        </w:rPr>
        <w:t xml:space="preserve"> UE.</w:t>
      </w:r>
    </w:p>
    <w:p>
      <w:pPr>
        <w:rPr>
          <w:b/>
          <w:lang w:eastAsia="zh-CN"/>
        </w:rPr>
      </w:pPr>
      <w:r>
        <w:rPr>
          <w:b/>
          <w:lang w:eastAsia="zh-CN"/>
        </w:rPr>
        <w:t xml:space="preserve">Proposal </w:t>
      </w:r>
      <w:r>
        <w:rPr>
          <w:rFonts w:hint="default"/>
          <w:b/>
          <w:lang w:val="en-US" w:eastAsia="zh-CN"/>
        </w:rPr>
        <w:t xml:space="preserve">3: </w:t>
      </w:r>
      <w:r>
        <w:rPr>
          <w:b/>
          <w:lang w:eastAsia="zh-CN"/>
        </w:rPr>
        <w:t>Include in an LS response to SA2 (CT1, RAN3), that RAN2 expect further information on selection of MNC and uniqueness thereof, to judge whether further SIB optimization would be possible.</w:t>
      </w:r>
    </w:p>
    <w:p>
      <w:pPr>
        <w:jc w:val="both"/>
        <w:rPr>
          <w:b/>
          <w:lang w:val="en-US" w:eastAsia="zh-CN"/>
        </w:rPr>
      </w:pPr>
      <w:r>
        <w:rPr>
          <w:b/>
          <w:lang w:val="en-US" w:eastAsia="zh-CN"/>
        </w:rPr>
        <w:t xml:space="preserve">Proposal </w:t>
      </w:r>
      <w:r>
        <w:rPr>
          <w:rFonts w:hint="default"/>
          <w:b/>
          <w:lang w:val="en-US" w:eastAsia="zh-CN"/>
        </w:rPr>
        <w:t>4</w:t>
      </w:r>
      <w:r>
        <w:rPr>
          <w:b/>
          <w:lang w:val="en-US" w:eastAsia="zh-CN"/>
        </w:rPr>
        <w:t>: The full NPN-ID or NPN-ID index and human-readable network name may need to be reported to gNB for selecting suitable AMF selection during the network selection procedure as similar as PLMN ID.</w:t>
      </w:r>
    </w:p>
    <w:p>
      <w:pPr>
        <w:rPr>
          <w:b/>
          <w:lang w:val="en-US" w:eastAsia="zh-CN"/>
        </w:rPr>
      </w:pPr>
      <w:r>
        <w:rPr>
          <w:b/>
          <w:lang w:val="en-US" w:eastAsia="zh-CN"/>
        </w:rPr>
        <w:t>Proposal</w:t>
      </w:r>
      <w:r>
        <w:rPr>
          <w:rFonts w:hint="eastAsia"/>
          <w:b/>
          <w:lang w:val="en-US" w:eastAsia="zh-CN"/>
        </w:rPr>
        <w:t xml:space="preserve"> </w:t>
      </w:r>
      <w:r>
        <w:rPr>
          <w:rFonts w:hint="default"/>
          <w:b/>
          <w:lang w:val="en-US" w:eastAsia="zh-CN"/>
        </w:rPr>
        <w:t>5</w:t>
      </w:r>
      <w:r>
        <w:rPr>
          <w:rFonts w:hint="eastAsia"/>
          <w:b/>
          <w:lang w:val="en-US" w:eastAsia="zh-CN"/>
        </w:rPr>
        <w:t xml:space="preserve">: </w:t>
      </w:r>
      <w:r>
        <w:rPr>
          <w:b/>
          <w:lang w:val="en-US" w:eastAsia="zh-CN"/>
        </w:rPr>
        <w:t>T</w:t>
      </w:r>
      <w:r>
        <w:rPr>
          <w:rFonts w:hint="eastAsia"/>
          <w:b/>
          <w:lang w:val="en-US" w:eastAsia="zh-CN"/>
        </w:rPr>
        <w:t xml:space="preserve">he </w:t>
      </w:r>
      <w:r>
        <w:rPr>
          <w:b/>
          <w:lang w:val="en-US" w:eastAsia="zh-CN"/>
        </w:rPr>
        <w:t>separate</w:t>
      </w:r>
      <w:r>
        <w:rPr>
          <w:rFonts w:hint="eastAsia"/>
          <w:b/>
          <w:lang w:val="en-US" w:eastAsia="zh-CN"/>
        </w:rPr>
        <w:t xml:space="preserve"> parameter on UAC for standalone non-public networks may be introduced to </w:t>
      </w:r>
      <w:r>
        <w:rPr>
          <w:b/>
          <w:lang w:val="en-US" w:eastAsia="zh-CN"/>
        </w:rPr>
        <w:t>uac-BarringInfo</w:t>
      </w:r>
      <w:r>
        <w:rPr>
          <w:rFonts w:hint="eastAsia"/>
          <w:b/>
          <w:lang w:val="en-US" w:eastAsia="zh-CN"/>
        </w:rPr>
        <w:t xml:space="preserve"> in SIB1 to define the UAC barring information for SNPN.</w:t>
      </w:r>
    </w:p>
    <w:p>
      <w:pPr>
        <w:rPr>
          <w:lang w:val="en-US" w:eastAsia="zh-CN"/>
        </w:rPr>
      </w:pPr>
      <w:r>
        <w:rPr>
          <w:b/>
          <w:lang w:val="en-US" w:eastAsia="zh-CN"/>
        </w:rPr>
        <w:t>Proposal</w:t>
      </w:r>
      <w:r>
        <w:rPr>
          <w:rFonts w:hint="eastAsia"/>
          <w:b/>
          <w:lang w:val="en-US" w:eastAsia="zh-CN"/>
        </w:rPr>
        <w:t xml:space="preserve"> </w:t>
      </w:r>
      <w:r>
        <w:rPr>
          <w:rFonts w:hint="default"/>
          <w:b/>
          <w:lang w:val="en-US" w:eastAsia="zh-CN"/>
        </w:rPr>
        <w:t>6</w:t>
      </w:r>
      <w:r>
        <w:rPr>
          <w:rFonts w:hint="eastAsia"/>
          <w:b/>
          <w:lang w:val="en-US" w:eastAsia="zh-CN"/>
        </w:rPr>
        <w:t>: The additional information, i.e. NPN ID, may be provided in the HO measurement report and gNB in NPN could evaluate this assistant information before making the HO decision.</w:t>
      </w:r>
      <w:bookmarkStart w:id="2" w:name="_GoBack"/>
      <w:bookmarkEnd w:id="2"/>
    </w:p>
    <w:p>
      <w:pPr>
        <w:pStyle w:val="2"/>
        <w:spacing w:line="276" w:lineRule="auto"/>
        <w:jc w:val="both"/>
      </w:pPr>
      <w:r>
        <w:t>Reference</w:t>
      </w:r>
    </w:p>
    <w:bookmarkEnd w:id="0"/>
    <w:p>
      <w:pPr>
        <w:numPr>
          <w:ilvl w:val="0"/>
          <w:numId w:val="19"/>
        </w:numPr>
        <w:spacing w:line="276" w:lineRule="auto"/>
        <w:jc w:val="both"/>
        <w:rPr>
          <w:lang w:eastAsia="zh-CN"/>
        </w:rPr>
      </w:pPr>
      <w:r>
        <w:rPr>
          <w:rFonts w:hint="eastAsia"/>
          <w:lang w:eastAsia="zh-CN"/>
        </w:rPr>
        <w:t>3</w:t>
      </w:r>
      <w:r>
        <w:rPr>
          <w:lang w:eastAsia="zh-CN"/>
        </w:rPr>
        <w:t>GPP T</w:t>
      </w:r>
      <w:r>
        <w:rPr>
          <w:rFonts w:hint="eastAsia"/>
          <w:lang w:eastAsia="zh-CN"/>
        </w:rPr>
        <w:t>R 23.734 v16.0.0</w:t>
      </w:r>
      <w:r>
        <w:rPr>
          <w:lang w:eastAsia="zh-CN"/>
        </w:rPr>
        <w:t xml:space="preserve">, </w:t>
      </w:r>
      <w:r>
        <w:rPr>
          <w:rFonts w:hint="eastAsia"/>
          <w:lang w:eastAsia="zh-CN"/>
        </w:rPr>
        <w:t xml:space="preserve">Study on enhancement of 5GS for vertical and LAN services. </w:t>
      </w:r>
    </w:p>
    <w:p>
      <w:pPr>
        <w:numPr>
          <w:ilvl w:val="0"/>
          <w:numId w:val="19"/>
        </w:numPr>
        <w:spacing w:line="276" w:lineRule="auto"/>
        <w:jc w:val="both"/>
        <w:rPr>
          <w:lang w:eastAsia="zh-CN"/>
        </w:rPr>
      </w:pPr>
      <w:bookmarkStart w:id="1" w:name="_Ref16607398"/>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Pr>
          <w:rFonts w:hint="eastAsia"/>
          <w:lang w:eastAsia="zh-CN"/>
        </w:rPr>
        <w:t xml:space="preserve"> stage2.</w:t>
      </w:r>
      <w:bookmarkEnd w:id="1"/>
    </w:p>
    <w:p>
      <w:pPr>
        <w:numPr>
          <w:ilvl w:val="0"/>
          <w:numId w:val="19"/>
        </w:numPr>
        <w:spacing w:line="276" w:lineRule="auto"/>
        <w:jc w:val="both"/>
        <w:rPr>
          <w:lang w:eastAsia="zh-CN"/>
        </w:rPr>
      </w:pPr>
      <w:r>
        <w:rPr>
          <w:rFonts w:hint="eastAsia"/>
          <w:lang w:eastAsia="zh-CN"/>
        </w:rPr>
        <w:t>3GPP TS 38.331 v15.3.0 NR; Radio Resource Control (RRC) protocol specification</w:t>
      </w:r>
    </w:p>
    <w:p>
      <w:pPr>
        <w:spacing w:line="276" w:lineRule="auto"/>
        <w:jc w:val="both"/>
        <w:rPr>
          <w:lang w:eastAsia="zh-CN"/>
        </w:rPr>
      </w:pP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icrosoft Neo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0000012" w:usb3="00000000" w:csb0="0002009F" w:csb1="00000000"/>
  </w:font>
  <w:font w:name="Microsoft NeoGothic">
    <w:panose1 w:val="020B0402040204020203"/>
    <w:charset w:val="81"/>
    <w:family w:val="auto"/>
    <w:pitch w:val="default"/>
    <w:sig w:usb0="B00002BF" w:usb1="111160FB" w:usb2="00000010" w:usb3="00000000" w:csb0="0008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2">
    <w:nsid w:val="145D6511"/>
    <w:multiLevelType w:val="multilevel"/>
    <w:tmpl w:val="145D6511"/>
    <w:lvl w:ilvl="0" w:tentative="0">
      <w:start w:val="1"/>
      <w:numFmt w:val="bullet"/>
      <w:lvlText w:val=""/>
      <w:lvlJc w:val="left"/>
      <w:pPr>
        <w:tabs>
          <w:tab w:val="left" w:pos="720"/>
        </w:tabs>
        <w:ind w:left="720" w:hanging="360"/>
      </w:pPr>
      <w:rPr>
        <w:rFonts w:hint="default" w:ascii="Wingdings" w:hAnsi="Wingdings"/>
      </w:rPr>
    </w:lvl>
    <w:lvl w:ilvl="1" w:tentative="0">
      <w:start w:val="110"/>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2D21819"/>
    <w:multiLevelType w:val="multilevel"/>
    <w:tmpl w:val="22D21819"/>
    <w:lvl w:ilvl="0" w:tentative="0">
      <w:start w:val="1"/>
      <w:numFmt w:val="bullet"/>
      <w:pStyle w:val="157"/>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2B7C6B0C"/>
    <w:multiLevelType w:val="multilevel"/>
    <w:tmpl w:val="2B7C6B0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D1F3BA6"/>
    <w:multiLevelType w:val="multilevel"/>
    <w:tmpl w:val="2D1F3BA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A877D64"/>
    <w:multiLevelType w:val="singleLevel"/>
    <w:tmpl w:val="3A877D64"/>
    <w:lvl w:ilvl="0" w:tentative="0">
      <w:start w:val="1"/>
      <w:numFmt w:val="decimal"/>
      <w:pStyle w:val="139"/>
      <w:lvlText w:val="[%1]"/>
      <w:lvlJc w:val="left"/>
      <w:pPr>
        <w:tabs>
          <w:tab w:val="left" w:pos="360"/>
        </w:tabs>
        <w:ind w:left="360" w:hanging="360"/>
      </w:pPr>
      <w:rPr>
        <w:lang w:val="en-GB"/>
      </w:rPr>
    </w:lvl>
  </w:abstractNum>
  <w:abstractNum w:abstractNumId="7">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1097B40"/>
    <w:multiLevelType w:val="multilevel"/>
    <w:tmpl w:val="51097B40"/>
    <w:lvl w:ilvl="0" w:tentative="0">
      <w:start w:val="1"/>
      <w:numFmt w:val="decimal"/>
      <w:lvlText w:val="%1)"/>
      <w:lvlJc w:val="left"/>
      <w:pPr>
        <w:ind w:left="720" w:hanging="360"/>
      </w:p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1C420DD"/>
    <w:multiLevelType w:val="multilevel"/>
    <w:tmpl w:val="51C420D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4">
    <w:nsid w:val="670B4E82"/>
    <w:multiLevelType w:val="multilevel"/>
    <w:tmpl w:val="670B4E82"/>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70146DC0"/>
    <w:multiLevelType w:val="multilevel"/>
    <w:tmpl w:val="70146DC0"/>
    <w:lvl w:ilvl="0" w:tentative="0">
      <w:start w:val="1"/>
      <w:numFmt w:val="bullet"/>
      <w:pStyle w:val="16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20B5F2E"/>
    <w:multiLevelType w:val="multilevel"/>
    <w:tmpl w:val="720B5F2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BC330F5"/>
    <w:multiLevelType w:val="multilevel"/>
    <w:tmpl w:val="7BC330F5"/>
    <w:lvl w:ilvl="0" w:tentative="0">
      <w:start w:val="1"/>
      <w:numFmt w:val="bullet"/>
      <w:pStyle w:val="112"/>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1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US"/>
      </w:rPr>
    </w:lvl>
    <w:lvl w:ilvl="1" w:tentative="0">
      <w:start w:val="1"/>
      <w:numFmt w:val="decimal"/>
      <w:lvlText w:val="%1.%2."/>
      <w:lvlJc w:val="left"/>
      <w:pPr>
        <w:tabs>
          <w:tab w:val="left" w:pos="-806"/>
        </w:tabs>
        <w:ind w:left="-806"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18"/>
  </w:num>
  <w:num w:numId="2">
    <w:abstractNumId w:val="1"/>
  </w:num>
  <w:num w:numId="3">
    <w:abstractNumId w:val="13"/>
  </w:num>
  <w:num w:numId="4">
    <w:abstractNumId w:val="8"/>
  </w:num>
  <w:num w:numId="5">
    <w:abstractNumId w:val="9"/>
  </w:num>
  <w:num w:numId="6">
    <w:abstractNumId w:val="0"/>
  </w:num>
  <w:num w:numId="7">
    <w:abstractNumId w:val="17"/>
  </w:num>
  <w:num w:numId="8">
    <w:abstractNumId w:val="7"/>
  </w:num>
  <w:num w:numId="9">
    <w:abstractNumId w:val="10"/>
  </w:num>
  <w:num w:numId="10">
    <w:abstractNumId w:val="6"/>
  </w:num>
  <w:num w:numId="11">
    <w:abstractNumId w:val="3"/>
  </w:num>
  <w:num w:numId="12">
    <w:abstractNumId w:val="15"/>
  </w:num>
  <w:num w:numId="13">
    <w:abstractNumId w:val="2"/>
  </w:num>
  <w:num w:numId="14">
    <w:abstractNumId w:val="4"/>
  </w:num>
  <w:num w:numId="15">
    <w:abstractNumId w:val="16"/>
  </w:num>
  <w:num w:numId="16">
    <w:abstractNumId w:val="5"/>
  </w:num>
  <w:num w:numId="17">
    <w:abstractNumId w:val="11"/>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526E"/>
    <w:rsid w:val="00005A92"/>
    <w:rsid w:val="0000613E"/>
    <w:rsid w:val="00006433"/>
    <w:rsid w:val="00006529"/>
    <w:rsid w:val="00006642"/>
    <w:rsid w:val="000068A1"/>
    <w:rsid w:val="000068C4"/>
    <w:rsid w:val="00006AA0"/>
    <w:rsid w:val="00007084"/>
    <w:rsid w:val="00007555"/>
    <w:rsid w:val="000077BF"/>
    <w:rsid w:val="00007CDD"/>
    <w:rsid w:val="000105E8"/>
    <w:rsid w:val="000110CA"/>
    <w:rsid w:val="0001130B"/>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6B2"/>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99D"/>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A42"/>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7F"/>
    <w:rsid w:val="000412F2"/>
    <w:rsid w:val="00041777"/>
    <w:rsid w:val="000421C4"/>
    <w:rsid w:val="00042279"/>
    <w:rsid w:val="00042392"/>
    <w:rsid w:val="00042A26"/>
    <w:rsid w:val="00043715"/>
    <w:rsid w:val="00043B7F"/>
    <w:rsid w:val="00043BC5"/>
    <w:rsid w:val="00043EBF"/>
    <w:rsid w:val="00043FD3"/>
    <w:rsid w:val="000440C2"/>
    <w:rsid w:val="000442D9"/>
    <w:rsid w:val="00044562"/>
    <w:rsid w:val="00044FB0"/>
    <w:rsid w:val="0004521C"/>
    <w:rsid w:val="0004535D"/>
    <w:rsid w:val="000456B5"/>
    <w:rsid w:val="00045857"/>
    <w:rsid w:val="00045EC1"/>
    <w:rsid w:val="000460B7"/>
    <w:rsid w:val="0004655A"/>
    <w:rsid w:val="000468A5"/>
    <w:rsid w:val="000468BE"/>
    <w:rsid w:val="00046DD0"/>
    <w:rsid w:val="000472B5"/>
    <w:rsid w:val="0004768D"/>
    <w:rsid w:val="00047A86"/>
    <w:rsid w:val="00047D2B"/>
    <w:rsid w:val="000502EF"/>
    <w:rsid w:val="0005055D"/>
    <w:rsid w:val="000506A2"/>
    <w:rsid w:val="00050BDE"/>
    <w:rsid w:val="0005158A"/>
    <w:rsid w:val="00051CEA"/>
    <w:rsid w:val="00052018"/>
    <w:rsid w:val="000520DD"/>
    <w:rsid w:val="00052523"/>
    <w:rsid w:val="0005311E"/>
    <w:rsid w:val="00053449"/>
    <w:rsid w:val="00053533"/>
    <w:rsid w:val="000540ED"/>
    <w:rsid w:val="000542F7"/>
    <w:rsid w:val="0005476A"/>
    <w:rsid w:val="000549FA"/>
    <w:rsid w:val="00054CEB"/>
    <w:rsid w:val="00054E34"/>
    <w:rsid w:val="00054FF1"/>
    <w:rsid w:val="00055203"/>
    <w:rsid w:val="00055310"/>
    <w:rsid w:val="00055659"/>
    <w:rsid w:val="000557AA"/>
    <w:rsid w:val="00055825"/>
    <w:rsid w:val="00055880"/>
    <w:rsid w:val="00056365"/>
    <w:rsid w:val="00056AD9"/>
    <w:rsid w:val="00056CBC"/>
    <w:rsid w:val="000570B8"/>
    <w:rsid w:val="00057764"/>
    <w:rsid w:val="00057A71"/>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4173"/>
    <w:rsid w:val="0006442E"/>
    <w:rsid w:val="00064F9E"/>
    <w:rsid w:val="00065502"/>
    <w:rsid w:val="000655EF"/>
    <w:rsid w:val="0006592F"/>
    <w:rsid w:val="00065A8A"/>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0E16"/>
    <w:rsid w:val="0007123F"/>
    <w:rsid w:val="00071310"/>
    <w:rsid w:val="0007161F"/>
    <w:rsid w:val="00071BC5"/>
    <w:rsid w:val="00072009"/>
    <w:rsid w:val="00072226"/>
    <w:rsid w:val="000727CB"/>
    <w:rsid w:val="00072DBB"/>
    <w:rsid w:val="00072E2E"/>
    <w:rsid w:val="00072EDF"/>
    <w:rsid w:val="00073621"/>
    <w:rsid w:val="000737BB"/>
    <w:rsid w:val="000737F6"/>
    <w:rsid w:val="00073C97"/>
    <w:rsid w:val="00073CF4"/>
    <w:rsid w:val="00073D53"/>
    <w:rsid w:val="00075247"/>
    <w:rsid w:val="00075277"/>
    <w:rsid w:val="00075760"/>
    <w:rsid w:val="00075866"/>
    <w:rsid w:val="00075C5A"/>
    <w:rsid w:val="0007650A"/>
    <w:rsid w:val="00076E9F"/>
    <w:rsid w:val="00080040"/>
    <w:rsid w:val="000800CB"/>
    <w:rsid w:val="00080B66"/>
    <w:rsid w:val="00081207"/>
    <w:rsid w:val="00081436"/>
    <w:rsid w:val="00081770"/>
    <w:rsid w:val="00081C37"/>
    <w:rsid w:val="00081C70"/>
    <w:rsid w:val="0008218C"/>
    <w:rsid w:val="00083024"/>
    <w:rsid w:val="000832CF"/>
    <w:rsid w:val="0008364E"/>
    <w:rsid w:val="00083842"/>
    <w:rsid w:val="00083950"/>
    <w:rsid w:val="00083952"/>
    <w:rsid w:val="00083B5A"/>
    <w:rsid w:val="00083CEB"/>
    <w:rsid w:val="00083DEA"/>
    <w:rsid w:val="000843D9"/>
    <w:rsid w:val="000844DF"/>
    <w:rsid w:val="00084A6A"/>
    <w:rsid w:val="00084F0C"/>
    <w:rsid w:val="00085285"/>
    <w:rsid w:val="0008564C"/>
    <w:rsid w:val="000858DB"/>
    <w:rsid w:val="00085DF3"/>
    <w:rsid w:val="00085EAD"/>
    <w:rsid w:val="00085F51"/>
    <w:rsid w:val="000863FD"/>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FAD"/>
    <w:rsid w:val="000B325B"/>
    <w:rsid w:val="000B36B7"/>
    <w:rsid w:val="000B450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A60"/>
    <w:rsid w:val="000B5C31"/>
    <w:rsid w:val="000B5C44"/>
    <w:rsid w:val="000B5CAA"/>
    <w:rsid w:val="000B5F7E"/>
    <w:rsid w:val="000B6D04"/>
    <w:rsid w:val="000B74E9"/>
    <w:rsid w:val="000B78CC"/>
    <w:rsid w:val="000B7EAD"/>
    <w:rsid w:val="000C00E1"/>
    <w:rsid w:val="000C1A95"/>
    <w:rsid w:val="000C28B1"/>
    <w:rsid w:val="000C29DE"/>
    <w:rsid w:val="000C31FD"/>
    <w:rsid w:val="000C38B5"/>
    <w:rsid w:val="000C3AE7"/>
    <w:rsid w:val="000C3C21"/>
    <w:rsid w:val="000C3C53"/>
    <w:rsid w:val="000C3D0E"/>
    <w:rsid w:val="000C3D86"/>
    <w:rsid w:val="000C4191"/>
    <w:rsid w:val="000C4250"/>
    <w:rsid w:val="000C42DD"/>
    <w:rsid w:val="000C45DC"/>
    <w:rsid w:val="000C4AEC"/>
    <w:rsid w:val="000C4DB8"/>
    <w:rsid w:val="000C4E25"/>
    <w:rsid w:val="000C4E93"/>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7C"/>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411"/>
    <w:rsid w:val="000D6D9F"/>
    <w:rsid w:val="000D72A0"/>
    <w:rsid w:val="000D7D92"/>
    <w:rsid w:val="000D7FAA"/>
    <w:rsid w:val="000E02F8"/>
    <w:rsid w:val="000E0C7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58F"/>
    <w:rsid w:val="000E56C2"/>
    <w:rsid w:val="000E57A4"/>
    <w:rsid w:val="000E59ED"/>
    <w:rsid w:val="000E5AFB"/>
    <w:rsid w:val="000E5B6C"/>
    <w:rsid w:val="000E5B99"/>
    <w:rsid w:val="000E5D27"/>
    <w:rsid w:val="000E62C1"/>
    <w:rsid w:val="000E671A"/>
    <w:rsid w:val="000E6ADB"/>
    <w:rsid w:val="000E71CF"/>
    <w:rsid w:val="000E725F"/>
    <w:rsid w:val="000E7317"/>
    <w:rsid w:val="000E75A7"/>
    <w:rsid w:val="000E7C81"/>
    <w:rsid w:val="000F025B"/>
    <w:rsid w:val="000F0513"/>
    <w:rsid w:val="000F0B0D"/>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580"/>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312C"/>
    <w:rsid w:val="00103CA7"/>
    <w:rsid w:val="00103EB4"/>
    <w:rsid w:val="00104BC2"/>
    <w:rsid w:val="00104F23"/>
    <w:rsid w:val="001053B5"/>
    <w:rsid w:val="001055DB"/>
    <w:rsid w:val="001055DC"/>
    <w:rsid w:val="001059BF"/>
    <w:rsid w:val="00105D4A"/>
    <w:rsid w:val="0010634F"/>
    <w:rsid w:val="00107562"/>
    <w:rsid w:val="0010764D"/>
    <w:rsid w:val="00107EFF"/>
    <w:rsid w:val="00107FF6"/>
    <w:rsid w:val="0011034D"/>
    <w:rsid w:val="00110973"/>
    <w:rsid w:val="00110A12"/>
    <w:rsid w:val="00110CE9"/>
    <w:rsid w:val="0011147C"/>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5FB4"/>
    <w:rsid w:val="00117901"/>
    <w:rsid w:val="00117B42"/>
    <w:rsid w:val="00117E08"/>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9DB"/>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575"/>
    <w:rsid w:val="00137CF3"/>
    <w:rsid w:val="00140232"/>
    <w:rsid w:val="00140317"/>
    <w:rsid w:val="00140753"/>
    <w:rsid w:val="0014087A"/>
    <w:rsid w:val="00141333"/>
    <w:rsid w:val="001415C0"/>
    <w:rsid w:val="0014188E"/>
    <w:rsid w:val="00141AA5"/>
    <w:rsid w:val="00141DD6"/>
    <w:rsid w:val="001422FF"/>
    <w:rsid w:val="00142617"/>
    <w:rsid w:val="00142772"/>
    <w:rsid w:val="001429B3"/>
    <w:rsid w:val="00142C1C"/>
    <w:rsid w:val="00142F52"/>
    <w:rsid w:val="0014304B"/>
    <w:rsid w:val="00143880"/>
    <w:rsid w:val="001439D0"/>
    <w:rsid w:val="00143BED"/>
    <w:rsid w:val="0014452A"/>
    <w:rsid w:val="001449FB"/>
    <w:rsid w:val="00144AA6"/>
    <w:rsid w:val="00144C9A"/>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2F3F"/>
    <w:rsid w:val="00153301"/>
    <w:rsid w:val="00153458"/>
    <w:rsid w:val="001539C3"/>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313"/>
    <w:rsid w:val="00163420"/>
    <w:rsid w:val="00163448"/>
    <w:rsid w:val="001636D5"/>
    <w:rsid w:val="00163EEC"/>
    <w:rsid w:val="001640D9"/>
    <w:rsid w:val="0016432D"/>
    <w:rsid w:val="00164373"/>
    <w:rsid w:val="0016447B"/>
    <w:rsid w:val="00165014"/>
    <w:rsid w:val="001650C7"/>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1F8E"/>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53"/>
    <w:rsid w:val="00180B65"/>
    <w:rsid w:val="00181069"/>
    <w:rsid w:val="0018108B"/>
    <w:rsid w:val="00181102"/>
    <w:rsid w:val="00181357"/>
    <w:rsid w:val="00182151"/>
    <w:rsid w:val="001823EF"/>
    <w:rsid w:val="001828C8"/>
    <w:rsid w:val="00182A33"/>
    <w:rsid w:val="00183222"/>
    <w:rsid w:val="0018351C"/>
    <w:rsid w:val="001835F2"/>
    <w:rsid w:val="00183886"/>
    <w:rsid w:val="001839BA"/>
    <w:rsid w:val="00183FBC"/>
    <w:rsid w:val="001844F5"/>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134"/>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CAF"/>
    <w:rsid w:val="001B5D47"/>
    <w:rsid w:val="001B6185"/>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D66"/>
    <w:rsid w:val="001D7F68"/>
    <w:rsid w:val="001E09C3"/>
    <w:rsid w:val="001E0B08"/>
    <w:rsid w:val="001E0B57"/>
    <w:rsid w:val="001E0E99"/>
    <w:rsid w:val="001E10C2"/>
    <w:rsid w:val="001E11CD"/>
    <w:rsid w:val="001E1A4D"/>
    <w:rsid w:val="001E24FA"/>
    <w:rsid w:val="001E2A83"/>
    <w:rsid w:val="001E2D8E"/>
    <w:rsid w:val="001E3038"/>
    <w:rsid w:val="001E328E"/>
    <w:rsid w:val="001E3486"/>
    <w:rsid w:val="001E35AF"/>
    <w:rsid w:val="001E3708"/>
    <w:rsid w:val="001E3784"/>
    <w:rsid w:val="001E39A0"/>
    <w:rsid w:val="001E41F3"/>
    <w:rsid w:val="001E46D3"/>
    <w:rsid w:val="001E4AA3"/>
    <w:rsid w:val="001E50E2"/>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2CC"/>
    <w:rsid w:val="001F5586"/>
    <w:rsid w:val="001F5B17"/>
    <w:rsid w:val="001F5B45"/>
    <w:rsid w:val="001F5C96"/>
    <w:rsid w:val="001F5E5E"/>
    <w:rsid w:val="001F5F6A"/>
    <w:rsid w:val="001F606E"/>
    <w:rsid w:val="001F6117"/>
    <w:rsid w:val="001F7114"/>
    <w:rsid w:val="001F7837"/>
    <w:rsid w:val="001F7A5D"/>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C29"/>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DA3"/>
    <w:rsid w:val="00214281"/>
    <w:rsid w:val="002146CA"/>
    <w:rsid w:val="00214991"/>
    <w:rsid w:val="00214CE7"/>
    <w:rsid w:val="002153FB"/>
    <w:rsid w:val="00215F43"/>
    <w:rsid w:val="002167F0"/>
    <w:rsid w:val="00216BBA"/>
    <w:rsid w:val="0021752D"/>
    <w:rsid w:val="00217C36"/>
    <w:rsid w:val="0022088C"/>
    <w:rsid w:val="00220898"/>
    <w:rsid w:val="002214AD"/>
    <w:rsid w:val="00221539"/>
    <w:rsid w:val="002217DB"/>
    <w:rsid w:val="0022182B"/>
    <w:rsid w:val="00221BA1"/>
    <w:rsid w:val="00221E45"/>
    <w:rsid w:val="00221EC9"/>
    <w:rsid w:val="00222449"/>
    <w:rsid w:val="00223971"/>
    <w:rsid w:val="00223B76"/>
    <w:rsid w:val="0022418F"/>
    <w:rsid w:val="00224841"/>
    <w:rsid w:val="0022499C"/>
    <w:rsid w:val="00224B6C"/>
    <w:rsid w:val="00224C21"/>
    <w:rsid w:val="002255C5"/>
    <w:rsid w:val="00225696"/>
    <w:rsid w:val="00225BF4"/>
    <w:rsid w:val="002261DC"/>
    <w:rsid w:val="00226333"/>
    <w:rsid w:val="002263AA"/>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A1A"/>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B23"/>
    <w:rsid w:val="00245CB4"/>
    <w:rsid w:val="002462D7"/>
    <w:rsid w:val="00246509"/>
    <w:rsid w:val="00246DE8"/>
    <w:rsid w:val="0024701F"/>
    <w:rsid w:val="0024711C"/>
    <w:rsid w:val="002471D6"/>
    <w:rsid w:val="0025022A"/>
    <w:rsid w:val="00250854"/>
    <w:rsid w:val="0025086E"/>
    <w:rsid w:val="00250B37"/>
    <w:rsid w:val="00250C87"/>
    <w:rsid w:val="00250F81"/>
    <w:rsid w:val="002516F5"/>
    <w:rsid w:val="00251BD1"/>
    <w:rsid w:val="00252180"/>
    <w:rsid w:val="0025228F"/>
    <w:rsid w:val="00252317"/>
    <w:rsid w:val="002523D3"/>
    <w:rsid w:val="0025269E"/>
    <w:rsid w:val="00252D36"/>
    <w:rsid w:val="00252ECE"/>
    <w:rsid w:val="002530BB"/>
    <w:rsid w:val="002530BE"/>
    <w:rsid w:val="0025412D"/>
    <w:rsid w:val="0025543B"/>
    <w:rsid w:val="00255A70"/>
    <w:rsid w:val="00255A7E"/>
    <w:rsid w:val="00255E61"/>
    <w:rsid w:val="002563A6"/>
    <w:rsid w:val="00256518"/>
    <w:rsid w:val="00257195"/>
    <w:rsid w:val="00257199"/>
    <w:rsid w:val="00257240"/>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09A"/>
    <w:rsid w:val="00266759"/>
    <w:rsid w:val="002668CE"/>
    <w:rsid w:val="00266A49"/>
    <w:rsid w:val="00266C99"/>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0BC"/>
    <w:rsid w:val="002734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9A4"/>
    <w:rsid w:val="00290EDD"/>
    <w:rsid w:val="00290FFE"/>
    <w:rsid w:val="002912D8"/>
    <w:rsid w:val="0029143E"/>
    <w:rsid w:val="00291AA8"/>
    <w:rsid w:val="00292442"/>
    <w:rsid w:val="002927BC"/>
    <w:rsid w:val="002928C7"/>
    <w:rsid w:val="00292D6B"/>
    <w:rsid w:val="00292DD4"/>
    <w:rsid w:val="00292EAA"/>
    <w:rsid w:val="00292F79"/>
    <w:rsid w:val="002934AE"/>
    <w:rsid w:val="00293D64"/>
    <w:rsid w:val="00293D85"/>
    <w:rsid w:val="002942FD"/>
    <w:rsid w:val="00294380"/>
    <w:rsid w:val="00294520"/>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48D"/>
    <w:rsid w:val="002A4737"/>
    <w:rsid w:val="002A4AAD"/>
    <w:rsid w:val="002A4AE7"/>
    <w:rsid w:val="002A4B48"/>
    <w:rsid w:val="002A54E2"/>
    <w:rsid w:val="002A59CE"/>
    <w:rsid w:val="002A61EB"/>
    <w:rsid w:val="002A622D"/>
    <w:rsid w:val="002A68F9"/>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383"/>
    <w:rsid w:val="002B689A"/>
    <w:rsid w:val="002B6A0C"/>
    <w:rsid w:val="002B6DB9"/>
    <w:rsid w:val="002B6FC6"/>
    <w:rsid w:val="002B7652"/>
    <w:rsid w:val="002B7766"/>
    <w:rsid w:val="002B7860"/>
    <w:rsid w:val="002B7CE8"/>
    <w:rsid w:val="002C0977"/>
    <w:rsid w:val="002C0A7B"/>
    <w:rsid w:val="002C0BF8"/>
    <w:rsid w:val="002C12C1"/>
    <w:rsid w:val="002C1604"/>
    <w:rsid w:val="002C1B9F"/>
    <w:rsid w:val="002C1DA6"/>
    <w:rsid w:val="002C22A2"/>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7DC"/>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6DD"/>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4216"/>
    <w:rsid w:val="002E4C5F"/>
    <w:rsid w:val="002E4C9C"/>
    <w:rsid w:val="002E4DA5"/>
    <w:rsid w:val="002E5138"/>
    <w:rsid w:val="002E520C"/>
    <w:rsid w:val="002E5490"/>
    <w:rsid w:val="002E5779"/>
    <w:rsid w:val="002E5A45"/>
    <w:rsid w:val="002E5E1A"/>
    <w:rsid w:val="002E5E7D"/>
    <w:rsid w:val="002E5F97"/>
    <w:rsid w:val="002E6608"/>
    <w:rsid w:val="002E74B9"/>
    <w:rsid w:val="002E7AE9"/>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5F26"/>
    <w:rsid w:val="002F6006"/>
    <w:rsid w:val="002F61E1"/>
    <w:rsid w:val="002F627E"/>
    <w:rsid w:val="002F628C"/>
    <w:rsid w:val="002F6291"/>
    <w:rsid w:val="002F643A"/>
    <w:rsid w:val="002F672B"/>
    <w:rsid w:val="002F6900"/>
    <w:rsid w:val="002F6B54"/>
    <w:rsid w:val="002F748C"/>
    <w:rsid w:val="002F7A88"/>
    <w:rsid w:val="002F7BBB"/>
    <w:rsid w:val="002F7D07"/>
    <w:rsid w:val="003001D0"/>
    <w:rsid w:val="0030023B"/>
    <w:rsid w:val="003006C7"/>
    <w:rsid w:val="00300B61"/>
    <w:rsid w:val="00300F8E"/>
    <w:rsid w:val="0030164A"/>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80C"/>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516"/>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6C1"/>
    <w:rsid w:val="00330CA6"/>
    <w:rsid w:val="0033143D"/>
    <w:rsid w:val="003314EC"/>
    <w:rsid w:val="00331D74"/>
    <w:rsid w:val="00332476"/>
    <w:rsid w:val="00332B0C"/>
    <w:rsid w:val="00332C75"/>
    <w:rsid w:val="00333041"/>
    <w:rsid w:val="00333B90"/>
    <w:rsid w:val="00333FF3"/>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EB"/>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B2E"/>
    <w:rsid w:val="00360E8D"/>
    <w:rsid w:val="0036105A"/>
    <w:rsid w:val="003615EB"/>
    <w:rsid w:val="003616A4"/>
    <w:rsid w:val="00361987"/>
    <w:rsid w:val="00361BFC"/>
    <w:rsid w:val="00361D36"/>
    <w:rsid w:val="00361EFE"/>
    <w:rsid w:val="003621A3"/>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591"/>
    <w:rsid w:val="003808E6"/>
    <w:rsid w:val="00380E18"/>
    <w:rsid w:val="00380EBB"/>
    <w:rsid w:val="003819DC"/>
    <w:rsid w:val="00381C0D"/>
    <w:rsid w:val="00381F6C"/>
    <w:rsid w:val="003825E8"/>
    <w:rsid w:val="00382646"/>
    <w:rsid w:val="003827AC"/>
    <w:rsid w:val="003827CB"/>
    <w:rsid w:val="00382AA1"/>
    <w:rsid w:val="00382B41"/>
    <w:rsid w:val="00383004"/>
    <w:rsid w:val="00383875"/>
    <w:rsid w:val="003838A2"/>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6D5"/>
    <w:rsid w:val="00395C5A"/>
    <w:rsid w:val="00395E33"/>
    <w:rsid w:val="00395ED4"/>
    <w:rsid w:val="0039604D"/>
    <w:rsid w:val="00396310"/>
    <w:rsid w:val="00396450"/>
    <w:rsid w:val="0039705E"/>
    <w:rsid w:val="00397977"/>
    <w:rsid w:val="003979F2"/>
    <w:rsid w:val="00397A19"/>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54D"/>
    <w:rsid w:val="003B0857"/>
    <w:rsid w:val="003B0CA8"/>
    <w:rsid w:val="003B0D2A"/>
    <w:rsid w:val="003B183E"/>
    <w:rsid w:val="003B205D"/>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85D"/>
    <w:rsid w:val="003D0A06"/>
    <w:rsid w:val="003D0F1F"/>
    <w:rsid w:val="003D0F57"/>
    <w:rsid w:val="003D1479"/>
    <w:rsid w:val="003D1532"/>
    <w:rsid w:val="003D16E8"/>
    <w:rsid w:val="003D17A2"/>
    <w:rsid w:val="003D1A37"/>
    <w:rsid w:val="003D20BD"/>
    <w:rsid w:val="003D25B0"/>
    <w:rsid w:val="003D344A"/>
    <w:rsid w:val="003D4005"/>
    <w:rsid w:val="003D41C3"/>
    <w:rsid w:val="003D4A3A"/>
    <w:rsid w:val="003D4B4C"/>
    <w:rsid w:val="003D4CBF"/>
    <w:rsid w:val="003D4DAB"/>
    <w:rsid w:val="003D5012"/>
    <w:rsid w:val="003D531F"/>
    <w:rsid w:val="003D539F"/>
    <w:rsid w:val="003D5B20"/>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2E91"/>
    <w:rsid w:val="003E3068"/>
    <w:rsid w:val="003E31AC"/>
    <w:rsid w:val="003E354C"/>
    <w:rsid w:val="003E3706"/>
    <w:rsid w:val="003E3929"/>
    <w:rsid w:val="003E3ABC"/>
    <w:rsid w:val="003E437A"/>
    <w:rsid w:val="003E43AD"/>
    <w:rsid w:val="003E47BE"/>
    <w:rsid w:val="003E4936"/>
    <w:rsid w:val="003E4E87"/>
    <w:rsid w:val="003E4EB8"/>
    <w:rsid w:val="003E4F0B"/>
    <w:rsid w:val="003E570E"/>
    <w:rsid w:val="003E576C"/>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0100"/>
    <w:rsid w:val="003F1A60"/>
    <w:rsid w:val="003F1A72"/>
    <w:rsid w:val="003F1B4F"/>
    <w:rsid w:val="003F1DA4"/>
    <w:rsid w:val="003F1E03"/>
    <w:rsid w:val="003F1EE1"/>
    <w:rsid w:val="003F2050"/>
    <w:rsid w:val="003F21A6"/>
    <w:rsid w:val="003F2306"/>
    <w:rsid w:val="003F242B"/>
    <w:rsid w:val="003F2504"/>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56"/>
    <w:rsid w:val="003F5DE1"/>
    <w:rsid w:val="003F61CF"/>
    <w:rsid w:val="003F61EF"/>
    <w:rsid w:val="003F62C4"/>
    <w:rsid w:val="003F6418"/>
    <w:rsid w:val="003F6521"/>
    <w:rsid w:val="003F6A59"/>
    <w:rsid w:val="003F7406"/>
    <w:rsid w:val="003F77B5"/>
    <w:rsid w:val="003F7C5D"/>
    <w:rsid w:val="003F7EC2"/>
    <w:rsid w:val="00400809"/>
    <w:rsid w:val="00400A95"/>
    <w:rsid w:val="00400B7B"/>
    <w:rsid w:val="00400F02"/>
    <w:rsid w:val="00401654"/>
    <w:rsid w:val="004018DC"/>
    <w:rsid w:val="00401C8E"/>
    <w:rsid w:val="004022BE"/>
    <w:rsid w:val="00402B70"/>
    <w:rsid w:val="004041BA"/>
    <w:rsid w:val="0040428A"/>
    <w:rsid w:val="00404C86"/>
    <w:rsid w:val="00405177"/>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0CC6"/>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176"/>
    <w:rsid w:val="0042735E"/>
    <w:rsid w:val="00427CA0"/>
    <w:rsid w:val="00427E0F"/>
    <w:rsid w:val="00430A8D"/>
    <w:rsid w:val="00431055"/>
    <w:rsid w:val="004314CD"/>
    <w:rsid w:val="0043196F"/>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5EE3"/>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8AD"/>
    <w:rsid w:val="00447B8D"/>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924"/>
    <w:rsid w:val="00481D70"/>
    <w:rsid w:val="00481DFD"/>
    <w:rsid w:val="00481F0B"/>
    <w:rsid w:val="004822A4"/>
    <w:rsid w:val="00482BAE"/>
    <w:rsid w:val="00483250"/>
    <w:rsid w:val="004833A6"/>
    <w:rsid w:val="0048356D"/>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AC1"/>
    <w:rsid w:val="00494B9D"/>
    <w:rsid w:val="00494E96"/>
    <w:rsid w:val="0049582C"/>
    <w:rsid w:val="00495A4F"/>
    <w:rsid w:val="00495A6C"/>
    <w:rsid w:val="00495C0F"/>
    <w:rsid w:val="0049683A"/>
    <w:rsid w:val="004968A8"/>
    <w:rsid w:val="00496A9B"/>
    <w:rsid w:val="00497761"/>
    <w:rsid w:val="00497DC4"/>
    <w:rsid w:val="004A02E6"/>
    <w:rsid w:val="004A057E"/>
    <w:rsid w:val="004A06D4"/>
    <w:rsid w:val="004A0AEC"/>
    <w:rsid w:val="004A0B07"/>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BC9"/>
    <w:rsid w:val="004B0D88"/>
    <w:rsid w:val="004B105C"/>
    <w:rsid w:val="004B1165"/>
    <w:rsid w:val="004B131E"/>
    <w:rsid w:val="004B17FA"/>
    <w:rsid w:val="004B22BD"/>
    <w:rsid w:val="004B243C"/>
    <w:rsid w:val="004B245A"/>
    <w:rsid w:val="004B2607"/>
    <w:rsid w:val="004B268E"/>
    <w:rsid w:val="004B2B31"/>
    <w:rsid w:val="004B2D15"/>
    <w:rsid w:val="004B31B9"/>
    <w:rsid w:val="004B32BB"/>
    <w:rsid w:val="004B36A2"/>
    <w:rsid w:val="004B36D9"/>
    <w:rsid w:val="004B3BA7"/>
    <w:rsid w:val="004B3D21"/>
    <w:rsid w:val="004B3DD0"/>
    <w:rsid w:val="004B48F0"/>
    <w:rsid w:val="004B4A15"/>
    <w:rsid w:val="004B4C38"/>
    <w:rsid w:val="004B4E4C"/>
    <w:rsid w:val="004B511A"/>
    <w:rsid w:val="004B5142"/>
    <w:rsid w:val="004B53CF"/>
    <w:rsid w:val="004B53D9"/>
    <w:rsid w:val="004B5426"/>
    <w:rsid w:val="004B5622"/>
    <w:rsid w:val="004B5B6C"/>
    <w:rsid w:val="004B6591"/>
    <w:rsid w:val="004B66D9"/>
    <w:rsid w:val="004B6C41"/>
    <w:rsid w:val="004B7294"/>
    <w:rsid w:val="004B73E3"/>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AF4"/>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209"/>
    <w:rsid w:val="004E4303"/>
    <w:rsid w:val="004E4715"/>
    <w:rsid w:val="004E48CC"/>
    <w:rsid w:val="004E48EC"/>
    <w:rsid w:val="004E4FC1"/>
    <w:rsid w:val="004E4FF9"/>
    <w:rsid w:val="004E60A8"/>
    <w:rsid w:val="004E6526"/>
    <w:rsid w:val="004E6920"/>
    <w:rsid w:val="004E6B06"/>
    <w:rsid w:val="004E75FC"/>
    <w:rsid w:val="004E774C"/>
    <w:rsid w:val="004E7EAF"/>
    <w:rsid w:val="004F0306"/>
    <w:rsid w:val="004F0942"/>
    <w:rsid w:val="004F0BB2"/>
    <w:rsid w:val="004F0D89"/>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4FB4"/>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0D6"/>
    <w:rsid w:val="005203B7"/>
    <w:rsid w:val="0052072E"/>
    <w:rsid w:val="00520DDC"/>
    <w:rsid w:val="00520E39"/>
    <w:rsid w:val="00520E66"/>
    <w:rsid w:val="00520E9D"/>
    <w:rsid w:val="00521502"/>
    <w:rsid w:val="00521830"/>
    <w:rsid w:val="005218F7"/>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B88"/>
    <w:rsid w:val="0053034D"/>
    <w:rsid w:val="005304D0"/>
    <w:rsid w:val="005304D3"/>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4E0C"/>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9D"/>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158"/>
    <w:rsid w:val="005571F6"/>
    <w:rsid w:val="00557477"/>
    <w:rsid w:val="00557ABF"/>
    <w:rsid w:val="00557C6C"/>
    <w:rsid w:val="00557E5F"/>
    <w:rsid w:val="00557F01"/>
    <w:rsid w:val="00560107"/>
    <w:rsid w:val="0056011E"/>
    <w:rsid w:val="005602B5"/>
    <w:rsid w:val="005609CE"/>
    <w:rsid w:val="00560E5E"/>
    <w:rsid w:val="00561852"/>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B75"/>
    <w:rsid w:val="00565F76"/>
    <w:rsid w:val="0056637B"/>
    <w:rsid w:val="005663A7"/>
    <w:rsid w:val="005665EA"/>
    <w:rsid w:val="00566A49"/>
    <w:rsid w:val="00566C38"/>
    <w:rsid w:val="00566E95"/>
    <w:rsid w:val="00567305"/>
    <w:rsid w:val="0056791E"/>
    <w:rsid w:val="00567EB3"/>
    <w:rsid w:val="00567F4A"/>
    <w:rsid w:val="00570284"/>
    <w:rsid w:val="005707D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EDD"/>
    <w:rsid w:val="00577215"/>
    <w:rsid w:val="00577359"/>
    <w:rsid w:val="00577754"/>
    <w:rsid w:val="00577C93"/>
    <w:rsid w:val="00577FF1"/>
    <w:rsid w:val="00580175"/>
    <w:rsid w:val="0058033C"/>
    <w:rsid w:val="005808E1"/>
    <w:rsid w:val="005809DF"/>
    <w:rsid w:val="00580D47"/>
    <w:rsid w:val="00580EA2"/>
    <w:rsid w:val="00580EBE"/>
    <w:rsid w:val="0058100F"/>
    <w:rsid w:val="0058102B"/>
    <w:rsid w:val="005812BD"/>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0E2E"/>
    <w:rsid w:val="0059124B"/>
    <w:rsid w:val="005912AA"/>
    <w:rsid w:val="00591480"/>
    <w:rsid w:val="00591D06"/>
    <w:rsid w:val="00592458"/>
    <w:rsid w:val="005927E5"/>
    <w:rsid w:val="005930C9"/>
    <w:rsid w:val="00593317"/>
    <w:rsid w:val="005936AE"/>
    <w:rsid w:val="005936AF"/>
    <w:rsid w:val="005936B2"/>
    <w:rsid w:val="00593BDB"/>
    <w:rsid w:val="005944E5"/>
    <w:rsid w:val="00594584"/>
    <w:rsid w:val="0059486A"/>
    <w:rsid w:val="005949AB"/>
    <w:rsid w:val="00594A51"/>
    <w:rsid w:val="00594C57"/>
    <w:rsid w:val="0059559E"/>
    <w:rsid w:val="00595903"/>
    <w:rsid w:val="00595B0A"/>
    <w:rsid w:val="00595C03"/>
    <w:rsid w:val="00595E67"/>
    <w:rsid w:val="0059611C"/>
    <w:rsid w:val="00596888"/>
    <w:rsid w:val="0059709E"/>
    <w:rsid w:val="00597DA1"/>
    <w:rsid w:val="005A0A72"/>
    <w:rsid w:val="005A0F9B"/>
    <w:rsid w:val="005A1208"/>
    <w:rsid w:val="005A124F"/>
    <w:rsid w:val="005A175E"/>
    <w:rsid w:val="005A191D"/>
    <w:rsid w:val="005A22EF"/>
    <w:rsid w:val="005A272C"/>
    <w:rsid w:val="005A2952"/>
    <w:rsid w:val="005A2C0F"/>
    <w:rsid w:val="005A3088"/>
    <w:rsid w:val="005A3632"/>
    <w:rsid w:val="005A3928"/>
    <w:rsid w:val="005A3E77"/>
    <w:rsid w:val="005A3ED8"/>
    <w:rsid w:val="005A4173"/>
    <w:rsid w:val="005A4422"/>
    <w:rsid w:val="005A49AC"/>
    <w:rsid w:val="005A51DE"/>
    <w:rsid w:val="005A5317"/>
    <w:rsid w:val="005A5676"/>
    <w:rsid w:val="005A5986"/>
    <w:rsid w:val="005A5B67"/>
    <w:rsid w:val="005A5C92"/>
    <w:rsid w:val="005A60E1"/>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F43"/>
    <w:rsid w:val="005B1381"/>
    <w:rsid w:val="005B142A"/>
    <w:rsid w:val="005B16CB"/>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5A7"/>
    <w:rsid w:val="005C1702"/>
    <w:rsid w:val="005C1947"/>
    <w:rsid w:val="005C1F83"/>
    <w:rsid w:val="005C2054"/>
    <w:rsid w:val="005C25B7"/>
    <w:rsid w:val="005C29FB"/>
    <w:rsid w:val="005C2C99"/>
    <w:rsid w:val="005C2D75"/>
    <w:rsid w:val="005C330D"/>
    <w:rsid w:val="005C3911"/>
    <w:rsid w:val="005C3EA0"/>
    <w:rsid w:val="005C3FDB"/>
    <w:rsid w:val="005C406D"/>
    <w:rsid w:val="005C4178"/>
    <w:rsid w:val="005C43C4"/>
    <w:rsid w:val="005C526E"/>
    <w:rsid w:val="005C5883"/>
    <w:rsid w:val="005C5973"/>
    <w:rsid w:val="005C5E1E"/>
    <w:rsid w:val="005C647B"/>
    <w:rsid w:val="005C706A"/>
    <w:rsid w:val="005C75E2"/>
    <w:rsid w:val="005C7656"/>
    <w:rsid w:val="005D0520"/>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BAE"/>
    <w:rsid w:val="005D6C37"/>
    <w:rsid w:val="005D71F7"/>
    <w:rsid w:val="005D7663"/>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44AE"/>
    <w:rsid w:val="005E5301"/>
    <w:rsid w:val="005E5A4E"/>
    <w:rsid w:val="005E5B63"/>
    <w:rsid w:val="005E5CBB"/>
    <w:rsid w:val="005E64D8"/>
    <w:rsid w:val="005E6CEF"/>
    <w:rsid w:val="005E6DED"/>
    <w:rsid w:val="005E71CA"/>
    <w:rsid w:val="005E78D8"/>
    <w:rsid w:val="005E7F7A"/>
    <w:rsid w:val="005F031B"/>
    <w:rsid w:val="005F0444"/>
    <w:rsid w:val="005F0E08"/>
    <w:rsid w:val="005F0FE3"/>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D54"/>
    <w:rsid w:val="00601F68"/>
    <w:rsid w:val="00601F74"/>
    <w:rsid w:val="00602547"/>
    <w:rsid w:val="006026A3"/>
    <w:rsid w:val="00602745"/>
    <w:rsid w:val="0060290D"/>
    <w:rsid w:val="0060293E"/>
    <w:rsid w:val="00602AC3"/>
    <w:rsid w:val="00602B3B"/>
    <w:rsid w:val="00602CB0"/>
    <w:rsid w:val="006038F3"/>
    <w:rsid w:val="00604262"/>
    <w:rsid w:val="00604BCD"/>
    <w:rsid w:val="00605042"/>
    <w:rsid w:val="006050F1"/>
    <w:rsid w:val="00605F00"/>
    <w:rsid w:val="00606A7C"/>
    <w:rsid w:val="00606E72"/>
    <w:rsid w:val="00606F7E"/>
    <w:rsid w:val="00607113"/>
    <w:rsid w:val="0060743C"/>
    <w:rsid w:val="006079DE"/>
    <w:rsid w:val="00607D15"/>
    <w:rsid w:val="00610148"/>
    <w:rsid w:val="00610243"/>
    <w:rsid w:val="00610758"/>
    <w:rsid w:val="0061083C"/>
    <w:rsid w:val="0061138D"/>
    <w:rsid w:val="00611498"/>
    <w:rsid w:val="00611D7A"/>
    <w:rsid w:val="00611DB3"/>
    <w:rsid w:val="006126E9"/>
    <w:rsid w:val="00612803"/>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3EC"/>
    <w:rsid w:val="006168D8"/>
    <w:rsid w:val="00616A72"/>
    <w:rsid w:val="00616FA3"/>
    <w:rsid w:val="00617111"/>
    <w:rsid w:val="0061713D"/>
    <w:rsid w:val="00617505"/>
    <w:rsid w:val="00617AD8"/>
    <w:rsid w:val="00620B0F"/>
    <w:rsid w:val="00621D26"/>
    <w:rsid w:val="006226CB"/>
    <w:rsid w:val="00622936"/>
    <w:rsid w:val="0062297E"/>
    <w:rsid w:val="00622E4B"/>
    <w:rsid w:val="006238B9"/>
    <w:rsid w:val="0062398E"/>
    <w:rsid w:val="00623F8C"/>
    <w:rsid w:val="00623FA7"/>
    <w:rsid w:val="006241FB"/>
    <w:rsid w:val="006242B8"/>
    <w:rsid w:val="006244B6"/>
    <w:rsid w:val="00624E56"/>
    <w:rsid w:val="0062569A"/>
    <w:rsid w:val="00625777"/>
    <w:rsid w:val="00625940"/>
    <w:rsid w:val="00625B1C"/>
    <w:rsid w:val="00625CEF"/>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1DEB"/>
    <w:rsid w:val="00642027"/>
    <w:rsid w:val="006422EE"/>
    <w:rsid w:val="006428CB"/>
    <w:rsid w:val="006429F8"/>
    <w:rsid w:val="00642C3A"/>
    <w:rsid w:val="006434C8"/>
    <w:rsid w:val="00643507"/>
    <w:rsid w:val="006438A5"/>
    <w:rsid w:val="006439F7"/>
    <w:rsid w:val="00643C23"/>
    <w:rsid w:val="00643D70"/>
    <w:rsid w:val="00643FDE"/>
    <w:rsid w:val="0064476B"/>
    <w:rsid w:val="0064491C"/>
    <w:rsid w:val="00645242"/>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3CAD"/>
    <w:rsid w:val="0066419F"/>
    <w:rsid w:val="00664592"/>
    <w:rsid w:val="006645D3"/>
    <w:rsid w:val="006645D7"/>
    <w:rsid w:val="00664B32"/>
    <w:rsid w:val="00664C7E"/>
    <w:rsid w:val="00664F11"/>
    <w:rsid w:val="00665221"/>
    <w:rsid w:val="006659FA"/>
    <w:rsid w:val="00665A3A"/>
    <w:rsid w:val="00665D19"/>
    <w:rsid w:val="0066605D"/>
    <w:rsid w:val="006660C6"/>
    <w:rsid w:val="00666395"/>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05F"/>
    <w:rsid w:val="00671283"/>
    <w:rsid w:val="0067179A"/>
    <w:rsid w:val="00671A1B"/>
    <w:rsid w:val="00671BC7"/>
    <w:rsid w:val="00671BE9"/>
    <w:rsid w:val="00671DF8"/>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4E9E"/>
    <w:rsid w:val="006751FC"/>
    <w:rsid w:val="006755E3"/>
    <w:rsid w:val="006756D6"/>
    <w:rsid w:val="006765FF"/>
    <w:rsid w:val="00676CA7"/>
    <w:rsid w:val="006773F5"/>
    <w:rsid w:val="00677B4D"/>
    <w:rsid w:val="00677D60"/>
    <w:rsid w:val="00680263"/>
    <w:rsid w:val="006803BD"/>
    <w:rsid w:val="00680634"/>
    <w:rsid w:val="00680B33"/>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993"/>
    <w:rsid w:val="00693A52"/>
    <w:rsid w:val="00693DAC"/>
    <w:rsid w:val="0069437A"/>
    <w:rsid w:val="006943B5"/>
    <w:rsid w:val="00694C3C"/>
    <w:rsid w:val="00694F02"/>
    <w:rsid w:val="00695A1D"/>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197"/>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A35"/>
    <w:rsid w:val="006C511D"/>
    <w:rsid w:val="006C53D0"/>
    <w:rsid w:val="006C5DBD"/>
    <w:rsid w:val="006C5ED7"/>
    <w:rsid w:val="006C5EF9"/>
    <w:rsid w:val="006C6721"/>
    <w:rsid w:val="006C73D1"/>
    <w:rsid w:val="006C76A0"/>
    <w:rsid w:val="006C7ECA"/>
    <w:rsid w:val="006D0082"/>
    <w:rsid w:val="006D057B"/>
    <w:rsid w:val="006D059C"/>
    <w:rsid w:val="006D0603"/>
    <w:rsid w:val="006D0D08"/>
    <w:rsid w:val="006D1E5C"/>
    <w:rsid w:val="006D2F3B"/>
    <w:rsid w:val="006D3251"/>
    <w:rsid w:val="006D3886"/>
    <w:rsid w:val="006D39AD"/>
    <w:rsid w:val="006D39BB"/>
    <w:rsid w:val="006D3D55"/>
    <w:rsid w:val="006D40D1"/>
    <w:rsid w:val="006D44AB"/>
    <w:rsid w:val="006D44B4"/>
    <w:rsid w:val="006D45C2"/>
    <w:rsid w:val="006D48E6"/>
    <w:rsid w:val="006D4EAF"/>
    <w:rsid w:val="006D536D"/>
    <w:rsid w:val="006D590F"/>
    <w:rsid w:val="006D5C62"/>
    <w:rsid w:val="006D5C97"/>
    <w:rsid w:val="006D610E"/>
    <w:rsid w:val="006D640C"/>
    <w:rsid w:val="006D6AD8"/>
    <w:rsid w:val="006D6B98"/>
    <w:rsid w:val="006D6D4D"/>
    <w:rsid w:val="006D6DAE"/>
    <w:rsid w:val="006D6FC7"/>
    <w:rsid w:val="006D7B40"/>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5243"/>
    <w:rsid w:val="006E59BA"/>
    <w:rsid w:val="006E5B88"/>
    <w:rsid w:val="006E5BBE"/>
    <w:rsid w:val="006E643B"/>
    <w:rsid w:val="006E6673"/>
    <w:rsid w:val="006E7675"/>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744"/>
    <w:rsid w:val="00701C4E"/>
    <w:rsid w:val="0070219E"/>
    <w:rsid w:val="00702276"/>
    <w:rsid w:val="00702820"/>
    <w:rsid w:val="0070283A"/>
    <w:rsid w:val="00702CE0"/>
    <w:rsid w:val="0070308C"/>
    <w:rsid w:val="00703328"/>
    <w:rsid w:val="00703478"/>
    <w:rsid w:val="00703CB7"/>
    <w:rsid w:val="00703F1B"/>
    <w:rsid w:val="00704358"/>
    <w:rsid w:val="00704426"/>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17B"/>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08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4DBB"/>
    <w:rsid w:val="0072515E"/>
    <w:rsid w:val="007253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91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108"/>
    <w:rsid w:val="00742608"/>
    <w:rsid w:val="007426DB"/>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E8"/>
    <w:rsid w:val="00750718"/>
    <w:rsid w:val="00750A1E"/>
    <w:rsid w:val="00750A8D"/>
    <w:rsid w:val="00750CD9"/>
    <w:rsid w:val="00750F53"/>
    <w:rsid w:val="00751006"/>
    <w:rsid w:val="00751B5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600A"/>
    <w:rsid w:val="00756548"/>
    <w:rsid w:val="00756B39"/>
    <w:rsid w:val="00756C5C"/>
    <w:rsid w:val="0075712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D77"/>
    <w:rsid w:val="00764077"/>
    <w:rsid w:val="00764184"/>
    <w:rsid w:val="0076425D"/>
    <w:rsid w:val="0076434F"/>
    <w:rsid w:val="007645FA"/>
    <w:rsid w:val="00764E20"/>
    <w:rsid w:val="00764E47"/>
    <w:rsid w:val="007652AA"/>
    <w:rsid w:val="00765492"/>
    <w:rsid w:val="007654C8"/>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1F8"/>
    <w:rsid w:val="007743D3"/>
    <w:rsid w:val="00774723"/>
    <w:rsid w:val="00774AE1"/>
    <w:rsid w:val="00774B66"/>
    <w:rsid w:val="00774BE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E88"/>
    <w:rsid w:val="00796155"/>
    <w:rsid w:val="007964F1"/>
    <w:rsid w:val="00796522"/>
    <w:rsid w:val="00796567"/>
    <w:rsid w:val="00796C4E"/>
    <w:rsid w:val="00796F7E"/>
    <w:rsid w:val="00797435"/>
    <w:rsid w:val="00797BAF"/>
    <w:rsid w:val="00797BC3"/>
    <w:rsid w:val="00797D98"/>
    <w:rsid w:val="007A00B2"/>
    <w:rsid w:val="007A0357"/>
    <w:rsid w:val="007A06E4"/>
    <w:rsid w:val="007A074B"/>
    <w:rsid w:val="007A098C"/>
    <w:rsid w:val="007A12FC"/>
    <w:rsid w:val="007A1A41"/>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1C0"/>
    <w:rsid w:val="007A76A0"/>
    <w:rsid w:val="007A7778"/>
    <w:rsid w:val="007A7E26"/>
    <w:rsid w:val="007B05BC"/>
    <w:rsid w:val="007B1348"/>
    <w:rsid w:val="007B18F2"/>
    <w:rsid w:val="007B196B"/>
    <w:rsid w:val="007B1F9C"/>
    <w:rsid w:val="007B204B"/>
    <w:rsid w:val="007B20E0"/>
    <w:rsid w:val="007B29A2"/>
    <w:rsid w:val="007B2D18"/>
    <w:rsid w:val="007B32BB"/>
    <w:rsid w:val="007B366D"/>
    <w:rsid w:val="007B3B44"/>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880"/>
    <w:rsid w:val="007C4AA7"/>
    <w:rsid w:val="007C4F48"/>
    <w:rsid w:val="007C50C2"/>
    <w:rsid w:val="007C56BF"/>
    <w:rsid w:val="007C57DD"/>
    <w:rsid w:val="007C6574"/>
    <w:rsid w:val="007C66CD"/>
    <w:rsid w:val="007C67CE"/>
    <w:rsid w:val="007C695E"/>
    <w:rsid w:val="007C6B55"/>
    <w:rsid w:val="007C6BEB"/>
    <w:rsid w:val="007C6EB1"/>
    <w:rsid w:val="007D0359"/>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414"/>
    <w:rsid w:val="007D7E49"/>
    <w:rsid w:val="007E0199"/>
    <w:rsid w:val="007E0314"/>
    <w:rsid w:val="007E06D6"/>
    <w:rsid w:val="007E06FB"/>
    <w:rsid w:val="007E081B"/>
    <w:rsid w:val="007E0EE1"/>
    <w:rsid w:val="007E11C7"/>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60C2"/>
    <w:rsid w:val="007E6105"/>
    <w:rsid w:val="007E6339"/>
    <w:rsid w:val="007E6550"/>
    <w:rsid w:val="007E6913"/>
    <w:rsid w:val="007E6CED"/>
    <w:rsid w:val="007E7452"/>
    <w:rsid w:val="007E7B34"/>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5238"/>
    <w:rsid w:val="007F5543"/>
    <w:rsid w:val="007F6725"/>
    <w:rsid w:val="007F6787"/>
    <w:rsid w:val="007F684C"/>
    <w:rsid w:val="007F6CA5"/>
    <w:rsid w:val="007F6FFC"/>
    <w:rsid w:val="007F749D"/>
    <w:rsid w:val="007F74A7"/>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8E9"/>
    <w:rsid w:val="00806A0F"/>
    <w:rsid w:val="008072EB"/>
    <w:rsid w:val="00807E69"/>
    <w:rsid w:val="008104AC"/>
    <w:rsid w:val="008112E8"/>
    <w:rsid w:val="00811CBB"/>
    <w:rsid w:val="00811EB2"/>
    <w:rsid w:val="008122E4"/>
    <w:rsid w:val="00812D47"/>
    <w:rsid w:val="00812D63"/>
    <w:rsid w:val="00812FFB"/>
    <w:rsid w:val="008139A2"/>
    <w:rsid w:val="008139B1"/>
    <w:rsid w:val="00813AEA"/>
    <w:rsid w:val="00814156"/>
    <w:rsid w:val="00814391"/>
    <w:rsid w:val="00814856"/>
    <w:rsid w:val="00814FA9"/>
    <w:rsid w:val="008154C6"/>
    <w:rsid w:val="00815800"/>
    <w:rsid w:val="00815B8D"/>
    <w:rsid w:val="00815DC7"/>
    <w:rsid w:val="00816169"/>
    <w:rsid w:val="00816269"/>
    <w:rsid w:val="008164D0"/>
    <w:rsid w:val="008169F5"/>
    <w:rsid w:val="0081700C"/>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224"/>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DAC"/>
    <w:rsid w:val="00840F8E"/>
    <w:rsid w:val="0084189D"/>
    <w:rsid w:val="00841CCE"/>
    <w:rsid w:val="008421D3"/>
    <w:rsid w:val="00842440"/>
    <w:rsid w:val="008425C1"/>
    <w:rsid w:val="00842CBE"/>
    <w:rsid w:val="00842E15"/>
    <w:rsid w:val="00842EAD"/>
    <w:rsid w:val="00842F5B"/>
    <w:rsid w:val="00842FCD"/>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47F02"/>
    <w:rsid w:val="00850A2A"/>
    <w:rsid w:val="00851096"/>
    <w:rsid w:val="00852010"/>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386"/>
    <w:rsid w:val="00857D28"/>
    <w:rsid w:val="0086043E"/>
    <w:rsid w:val="00861AED"/>
    <w:rsid w:val="00861F92"/>
    <w:rsid w:val="00862515"/>
    <w:rsid w:val="0086298F"/>
    <w:rsid w:val="00862A9F"/>
    <w:rsid w:val="00862D9C"/>
    <w:rsid w:val="0086308C"/>
    <w:rsid w:val="008636DE"/>
    <w:rsid w:val="00863C3D"/>
    <w:rsid w:val="00864F63"/>
    <w:rsid w:val="008654C1"/>
    <w:rsid w:val="008659F1"/>
    <w:rsid w:val="008661E3"/>
    <w:rsid w:val="008662FE"/>
    <w:rsid w:val="008663F5"/>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86B"/>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5"/>
    <w:rsid w:val="00897872"/>
    <w:rsid w:val="00897959"/>
    <w:rsid w:val="00897F15"/>
    <w:rsid w:val="008A03D2"/>
    <w:rsid w:val="008A0411"/>
    <w:rsid w:val="008A0450"/>
    <w:rsid w:val="008A0679"/>
    <w:rsid w:val="008A070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213"/>
    <w:rsid w:val="008C14C9"/>
    <w:rsid w:val="008C14E6"/>
    <w:rsid w:val="008C1E98"/>
    <w:rsid w:val="008C2871"/>
    <w:rsid w:val="008C31D1"/>
    <w:rsid w:val="008C31F4"/>
    <w:rsid w:val="008C320D"/>
    <w:rsid w:val="008C37E6"/>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C7E78"/>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BA2"/>
    <w:rsid w:val="008E3E4B"/>
    <w:rsid w:val="008E42E3"/>
    <w:rsid w:val="008E458B"/>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0A"/>
    <w:rsid w:val="008E726F"/>
    <w:rsid w:val="008E765A"/>
    <w:rsid w:val="008E79CD"/>
    <w:rsid w:val="008E7DBA"/>
    <w:rsid w:val="008F00CF"/>
    <w:rsid w:val="008F062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A6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39BB"/>
    <w:rsid w:val="00923AD5"/>
    <w:rsid w:val="009242F9"/>
    <w:rsid w:val="009244E1"/>
    <w:rsid w:val="00924A67"/>
    <w:rsid w:val="00924BC3"/>
    <w:rsid w:val="0092516E"/>
    <w:rsid w:val="0092561B"/>
    <w:rsid w:val="009258E4"/>
    <w:rsid w:val="00925C07"/>
    <w:rsid w:val="00925C73"/>
    <w:rsid w:val="00926114"/>
    <w:rsid w:val="00926552"/>
    <w:rsid w:val="00926661"/>
    <w:rsid w:val="009269A5"/>
    <w:rsid w:val="0092744E"/>
    <w:rsid w:val="009276EF"/>
    <w:rsid w:val="00927857"/>
    <w:rsid w:val="00927E2A"/>
    <w:rsid w:val="00927F13"/>
    <w:rsid w:val="00930562"/>
    <w:rsid w:val="009307A2"/>
    <w:rsid w:val="0093166C"/>
    <w:rsid w:val="00931A1F"/>
    <w:rsid w:val="00931BD5"/>
    <w:rsid w:val="00931E63"/>
    <w:rsid w:val="00932114"/>
    <w:rsid w:val="0093273D"/>
    <w:rsid w:val="00932AE1"/>
    <w:rsid w:val="00932C74"/>
    <w:rsid w:val="009336A9"/>
    <w:rsid w:val="00933803"/>
    <w:rsid w:val="00933922"/>
    <w:rsid w:val="00933C00"/>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AAE"/>
    <w:rsid w:val="00936D0D"/>
    <w:rsid w:val="00936EB3"/>
    <w:rsid w:val="009373D8"/>
    <w:rsid w:val="0093757B"/>
    <w:rsid w:val="0093778F"/>
    <w:rsid w:val="00937A6C"/>
    <w:rsid w:val="00937BFE"/>
    <w:rsid w:val="00937F89"/>
    <w:rsid w:val="0094074A"/>
    <w:rsid w:val="00940AE6"/>
    <w:rsid w:val="00940B77"/>
    <w:rsid w:val="00940D0B"/>
    <w:rsid w:val="00941791"/>
    <w:rsid w:val="0094186C"/>
    <w:rsid w:val="00941B76"/>
    <w:rsid w:val="00941D99"/>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2E4"/>
    <w:rsid w:val="00977B96"/>
    <w:rsid w:val="00977E69"/>
    <w:rsid w:val="00977E87"/>
    <w:rsid w:val="0098004E"/>
    <w:rsid w:val="00980067"/>
    <w:rsid w:val="0098039D"/>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2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3D1"/>
    <w:rsid w:val="0099267A"/>
    <w:rsid w:val="00992D23"/>
    <w:rsid w:val="00992F7D"/>
    <w:rsid w:val="009930E6"/>
    <w:rsid w:val="009935B7"/>
    <w:rsid w:val="0099366B"/>
    <w:rsid w:val="0099383F"/>
    <w:rsid w:val="00994616"/>
    <w:rsid w:val="00994AB9"/>
    <w:rsid w:val="0099525B"/>
    <w:rsid w:val="0099570D"/>
    <w:rsid w:val="00995D16"/>
    <w:rsid w:val="00995E5B"/>
    <w:rsid w:val="009967E6"/>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0A6"/>
    <w:rsid w:val="009A61B2"/>
    <w:rsid w:val="009A63F0"/>
    <w:rsid w:val="009A676C"/>
    <w:rsid w:val="009A67B8"/>
    <w:rsid w:val="009A722D"/>
    <w:rsid w:val="009A7310"/>
    <w:rsid w:val="009A7356"/>
    <w:rsid w:val="009A788D"/>
    <w:rsid w:val="009B024B"/>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8B4"/>
    <w:rsid w:val="009B3D69"/>
    <w:rsid w:val="009B431A"/>
    <w:rsid w:val="009B5128"/>
    <w:rsid w:val="009B53BC"/>
    <w:rsid w:val="009B5577"/>
    <w:rsid w:val="009B5EDB"/>
    <w:rsid w:val="009B61C7"/>
    <w:rsid w:val="009B6FA1"/>
    <w:rsid w:val="009B724A"/>
    <w:rsid w:val="009C0FC5"/>
    <w:rsid w:val="009C14BE"/>
    <w:rsid w:val="009C1946"/>
    <w:rsid w:val="009C1D87"/>
    <w:rsid w:val="009C1FB0"/>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63F9"/>
    <w:rsid w:val="009D69DE"/>
    <w:rsid w:val="009D6A14"/>
    <w:rsid w:val="009D6D6E"/>
    <w:rsid w:val="009D6E7A"/>
    <w:rsid w:val="009D6F89"/>
    <w:rsid w:val="009D71A3"/>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207"/>
    <w:rsid w:val="009F3605"/>
    <w:rsid w:val="009F3664"/>
    <w:rsid w:val="009F386D"/>
    <w:rsid w:val="009F39FC"/>
    <w:rsid w:val="009F3AC3"/>
    <w:rsid w:val="009F3BA3"/>
    <w:rsid w:val="009F3D8B"/>
    <w:rsid w:val="009F405A"/>
    <w:rsid w:val="009F4089"/>
    <w:rsid w:val="009F458D"/>
    <w:rsid w:val="009F4AC2"/>
    <w:rsid w:val="009F5246"/>
    <w:rsid w:val="009F578D"/>
    <w:rsid w:val="009F584A"/>
    <w:rsid w:val="009F5B20"/>
    <w:rsid w:val="009F5C3D"/>
    <w:rsid w:val="009F640E"/>
    <w:rsid w:val="009F6450"/>
    <w:rsid w:val="009F6506"/>
    <w:rsid w:val="009F66A3"/>
    <w:rsid w:val="009F69AE"/>
    <w:rsid w:val="009F6B7A"/>
    <w:rsid w:val="009F6CF1"/>
    <w:rsid w:val="009F759E"/>
    <w:rsid w:val="009F78CA"/>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6026"/>
    <w:rsid w:val="00A0622B"/>
    <w:rsid w:val="00A067EB"/>
    <w:rsid w:val="00A06868"/>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830"/>
    <w:rsid w:val="00A21B1D"/>
    <w:rsid w:val="00A21B43"/>
    <w:rsid w:val="00A21DE9"/>
    <w:rsid w:val="00A21FB9"/>
    <w:rsid w:val="00A222BB"/>
    <w:rsid w:val="00A223DC"/>
    <w:rsid w:val="00A22803"/>
    <w:rsid w:val="00A22CE9"/>
    <w:rsid w:val="00A22E52"/>
    <w:rsid w:val="00A243EE"/>
    <w:rsid w:val="00A24894"/>
    <w:rsid w:val="00A24B2A"/>
    <w:rsid w:val="00A25536"/>
    <w:rsid w:val="00A25766"/>
    <w:rsid w:val="00A25A4E"/>
    <w:rsid w:val="00A25AA7"/>
    <w:rsid w:val="00A25C01"/>
    <w:rsid w:val="00A26206"/>
    <w:rsid w:val="00A2660D"/>
    <w:rsid w:val="00A2699F"/>
    <w:rsid w:val="00A26A1E"/>
    <w:rsid w:val="00A26B8C"/>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AC6"/>
    <w:rsid w:val="00A31D16"/>
    <w:rsid w:val="00A31E12"/>
    <w:rsid w:val="00A31FCD"/>
    <w:rsid w:val="00A333D4"/>
    <w:rsid w:val="00A334D2"/>
    <w:rsid w:val="00A33923"/>
    <w:rsid w:val="00A33A9B"/>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366"/>
    <w:rsid w:val="00A4057D"/>
    <w:rsid w:val="00A40748"/>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F9B"/>
    <w:rsid w:val="00A7137E"/>
    <w:rsid w:val="00A713BF"/>
    <w:rsid w:val="00A71FE2"/>
    <w:rsid w:val="00A724D0"/>
    <w:rsid w:val="00A724E0"/>
    <w:rsid w:val="00A7250A"/>
    <w:rsid w:val="00A725DB"/>
    <w:rsid w:val="00A72944"/>
    <w:rsid w:val="00A72D47"/>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3EE"/>
    <w:rsid w:val="00A867A8"/>
    <w:rsid w:val="00A86E4E"/>
    <w:rsid w:val="00A8776F"/>
    <w:rsid w:val="00A879FD"/>
    <w:rsid w:val="00A900BA"/>
    <w:rsid w:val="00A9052E"/>
    <w:rsid w:val="00A907B1"/>
    <w:rsid w:val="00A9163F"/>
    <w:rsid w:val="00A91886"/>
    <w:rsid w:val="00A91EC0"/>
    <w:rsid w:val="00A91F6D"/>
    <w:rsid w:val="00A928E5"/>
    <w:rsid w:val="00A92C06"/>
    <w:rsid w:val="00A92C85"/>
    <w:rsid w:val="00A934D0"/>
    <w:rsid w:val="00A9374A"/>
    <w:rsid w:val="00A93CB8"/>
    <w:rsid w:val="00A93D0F"/>
    <w:rsid w:val="00A94392"/>
    <w:rsid w:val="00A94894"/>
    <w:rsid w:val="00A94BE0"/>
    <w:rsid w:val="00A95754"/>
    <w:rsid w:val="00A958E1"/>
    <w:rsid w:val="00A96298"/>
    <w:rsid w:val="00A962B6"/>
    <w:rsid w:val="00A9682E"/>
    <w:rsid w:val="00A96CBC"/>
    <w:rsid w:val="00A9721B"/>
    <w:rsid w:val="00A97276"/>
    <w:rsid w:val="00A978D0"/>
    <w:rsid w:val="00AA0C78"/>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13"/>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37"/>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0D2"/>
    <w:rsid w:val="00AF179F"/>
    <w:rsid w:val="00AF1825"/>
    <w:rsid w:val="00AF1890"/>
    <w:rsid w:val="00AF2805"/>
    <w:rsid w:val="00AF2AF7"/>
    <w:rsid w:val="00AF2B07"/>
    <w:rsid w:val="00AF2F47"/>
    <w:rsid w:val="00AF32A6"/>
    <w:rsid w:val="00AF3391"/>
    <w:rsid w:val="00AF3473"/>
    <w:rsid w:val="00AF351E"/>
    <w:rsid w:val="00AF3731"/>
    <w:rsid w:val="00AF3915"/>
    <w:rsid w:val="00AF40ED"/>
    <w:rsid w:val="00AF45CD"/>
    <w:rsid w:val="00AF4777"/>
    <w:rsid w:val="00AF487E"/>
    <w:rsid w:val="00AF4A07"/>
    <w:rsid w:val="00AF4E18"/>
    <w:rsid w:val="00AF4F55"/>
    <w:rsid w:val="00AF4FAF"/>
    <w:rsid w:val="00AF5131"/>
    <w:rsid w:val="00AF54F2"/>
    <w:rsid w:val="00AF5505"/>
    <w:rsid w:val="00AF5861"/>
    <w:rsid w:val="00AF62EC"/>
    <w:rsid w:val="00AF633A"/>
    <w:rsid w:val="00AF6428"/>
    <w:rsid w:val="00AF6B2C"/>
    <w:rsid w:val="00AF7515"/>
    <w:rsid w:val="00AF7673"/>
    <w:rsid w:val="00AF7731"/>
    <w:rsid w:val="00AF7A52"/>
    <w:rsid w:val="00B00256"/>
    <w:rsid w:val="00B00341"/>
    <w:rsid w:val="00B0059C"/>
    <w:rsid w:val="00B007EC"/>
    <w:rsid w:val="00B00AA3"/>
    <w:rsid w:val="00B00CB6"/>
    <w:rsid w:val="00B00E2D"/>
    <w:rsid w:val="00B010E3"/>
    <w:rsid w:val="00B0143B"/>
    <w:rsid w:val="00B01740"/>
    <w:rsid w:val="00B0188B"/>
    <w:rsid w:val="00B018BE"/>
    <w:rsid w:val="00B02472"/>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4FFA"/>
    <w:rsid w:val="00B15481"/>
    <w:rsid w:val="00B157E6"/>
    <w:rsid w:val="00B158D1"/>
    <w:rsid w:val="00B1598E"/>
    <w:rsid w:val="00B15ABB"/>
    <w:rsid w:val="00B15B6F"/>
    <w:rsid w:val="00B15B9E"/>
    <w:rsid w:val="00B15BF0"/>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911"/>
    <w:rsid w:val="00B24D3A"/>
    <w:rsid w:val="00B24D9D"/>
    <w:rsid w:val="00B25438"/>
    <w:rsid w:val="00B25494"/>
    <w:rsid w:val="00B25FA9"/>
    <w:rsid w:val="00B26070"/>
    <w:rsid w:val="00B260CC"/>
    <w:rsid w:val="00B26195"/>
    <w:rsid w:val="00B26495"/>
    <w:rsid w:val="00B26511"/>
    <w:rsid w:val="00B268A1"/>
    <w:rsid w:val="00B26BC6"/>
    <w:rsid w:val="00B26E9D"/>
    <w:rsid w:val="00B2776C"/>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DA4"/>
    <w:rsid w:val="00B32F2E"/>
    <w:rsid w:val="00B3317A"/>
    <w:rsid w:val="00B33215"/>
    <w:rsid w:val="00B333C6"/>
    <w:rsid w:val="00B33404"/>
    <w:rsid w:val="00B3360C"/>
    <w:rsid w:val="00B336E7"/>
    <w:rsid w:val="00B3376A"/>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26D"/>
    <w:rsid w:val="00B44656"/>
    <w:rsid w:val="00B44774"/>
    <w:rsid w:val="00B44ED1"/>
    <w:rsid w:val="00B454D6"/>
    <w:rsid w:val="00B457C0"/>
    <w:rsid w:val="00B457CD"/>
    <w:rsid w:val="00B45A16"/>
    <w:rsid w:val="00B45E0E"/>
    <w:rsid w:val="00B46188"/>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9B"/>
    <w:rsid w:val="00B67218"/>
    <w:rsid w:val="00B6760A"/>
    <w:rsid w:val="00B67934"/>
    <w:rsid w:val="00B67A8C"/>
    <w:rsid w:val="00B67E51"/>
    <w:rsid w:val="00B67E79"/>
    <w:rsid w:val="00B67F82"/>
    <w:rsid w:val="00B67FC0"/>
    <w:rsid w:val="00B70109"/>
    <w:rsid w:val="00B7037B"/>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315"/>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9DB"/>
    <w:rsid w:val="00B87C6E"/>
    <w:rsid w:val="00B908EF"/>
    <w:rsid w:val="00B90B91"/>
    <w:rsid w:val="00B90DB6"/>
    <w:rsid w:val="00B90FD9"/>
    <w:rsid w:val="00B91369"/>
    <w:rsid w:val="00B91513"/>
    <w:rsid w:val="00B91737"/>
    <w:rsid w:val="00B92F95"/>
    <w:rsid w:val="00B934DA"/>
    <w:rsid w:val="00B93D8B"/>
    <w:rsid w:val="00B93F52"/>
    <w:rsid w:val="00B943FC"/>
    <w:rsid w:val="00B94412"/>
    <w:rsid w:val="00B96010"/>
    <w:rsid w:val="00B960A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DC6"/>
    <w:rsid w:val="00BB6F6D"/>
    <w:rsid w:val="00BB733C"/>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7B8"/>
    <w:rsid w:val="00BE1839"/>
    <w:rsid w:val="00BE1933"/>
    <w:rsid w:val="00BE1993"/>
    <w:rsid w:val="00BE1E25"/>
    <w:rsid w:val="00BE20E3"/>
    <w:rsid w:val="00BE2AF8"/>
    <w:rsid w:val="00BE2DAB"/>
    <w:rsid w:val="00BE2EEE"/>
    <w:rsid w:val="00BE31C1"/>
    <w:rsid w:val="00BE3BE3"/>
    <w:rsid w:val="00BE3EC1"/>
    <w:rsid w:val="00BE4185"/>
    <w:rsid w:val="00BE41A0"/>
    <w:rsid w:val="00BE4303"/>
    <w:rsid w:val="00BE497E"/>
    <w:rsid w:val="00BE50CD"/>
    <w:rsid w:val="00BE52BB"/>
    <w:rsid w:val="00BE5610"/>
    <w:rsid w:val="00BE5A9F"/>
    <w:rsid w:val="00BE5E26"/>
    <w:rsid w:val="00BE60A6"/>
    <w:rsid w:val="00BE65D8"/>
    <w:rsid w:val="00BE679D"/>
    <w:rsid w:val="00BE698C"/>
    <w:rsid w:val="00BE6AC4"/>
    <w:rsid w:val="00BE733C"/>
    <w:rsid w:val="00BE75AE"/>
    <w:rsid w:val="00BE77A9"/>
    <w:rsid w:val="00BE789D"/>
    <w:rsid w:val="00BE7A0B"/>
    <w:rsid w:val="00BE7A4C"/>
    <w:rsid w:val="00BE7D62"/>
    <w:rsid w:val="00BF0041"/>
    <w:rsid w:val="00BF060B"/>
    <w:rsid w:val="00BF0BA6"/>
    <w:rsid w:val="00BF0CCC"/>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690"/>
    <w:rsid w:val="00BF6A51"/>
    <w:rsid w:val="00BF73FC"/>
    <w:rsid w:val="00BF745E"/>
    <w:rsid w:val="00BF7570"/>
    <w:rsid w:val="00BF7AD7"/>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41"/>
    <w:rsid w:val="00C07888"/>
    <w:rsid w:val="00C07ABC"/>
    <w:rsid w:val="00C1013B"/>
    <w:rsid w:val="00C105F5"/>
    <w:rsid w:val="00C10A51"/>
    <w:rsid w:val="00C10AEE"/>
    <w:rsid w:val="00C11121"/>
    <w:rsid w:val="00C11712"/>
    <w:rsid w:val="00C11A3A"/>
    <w:rsid w:val="00C11B14"/>
    <w:rsid w:val="00C11C87"/>
    <w:rsid w:val="00C11EA6"/>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DDB"/>
    <w:rsid w:val="00C25F7D"/>
    <w:rsid w:val="00C269F0"/>
    <w:rsid w:val="00C31C6D"/>
    <w:rsid w:val="00C321CF"/>
    <w:rsid w:val="00C32288"/>
    <w:rsid w:val="00C322F9"/>
    <w:rsid w:val="00C32405"/>
    <w:rsid w:val="00C325D4"/>
    <w:rsid w:val="00C3319C"/>
    <w:rsid w:val="00C332A3"/>
    <w:rsid w:val="00C33336"/>
    <w:rsid w:val="00C33411"/>
    <w:rsid w:val="00C3353B"/>
    <w:rsid w:val="00C33600"/>
    <w:rsid w:val="00C33833"/>
    <w:rsid w:val="00C33CD1"/>
    <w:rsid w:val="00C33CFB"/>
    <w:rsid w:val="00C344DF"/>
    <w:rsid w:val="00C3450C"/>
    <w:rsid w:val="00C34EBB"/>
    <w:rsid w:val="00C35330"/>
    <w:rsid w:val="00C35AC1"/>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5138"/>
    <w:rsid w:val="00C65860"/>
    <w:rsid w:val="00C65C48"/>
    <w:rsid w:val="00C66387"/>
    <w:rsid w:val="00C66894"/>
    <w:rsid w:val="00C66EF5"/>
    <w:rsid w:val="00C673DC"/>
    <w:rsid w:val="00C67452"/>
    <w:rsid w:val="00C67B92"/>
    <w:rsid w:val="00C7122F"/>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039"/>
    <w:rsid w:val="00C76F87"/>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8B6"/>
    <w:rsid w:val="00CB0C2E"/>
    <w:rsid w:val="00CB1071"/>
    <w:rsid w:val="00CB11E0"/>
    <w:rsid w:val="00CB1B8C"/>
    <w:rsid w:val="00CB1C2B"/>
    <w:rsid w:val="00CB2069"/>
    <w:rsid w:val="00CB3285"/>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CDD"/>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5A4"/>
    <w:rsid w:val="00CD3E9B"/>
    <w:rsid w:val="00CD4634"/>
    <w:rsid w:val="00CD4D48"/>
    <w:rsid w:val="00CD4EA5"/>
    <w:rsid w:val="00CD4FE1"/>
    <w:rsid w:val="00CD5AA3"/>
    <w:rsid w:val="00CD5EEA"/>
    <w:rsid w:val="00CD60AC"/>
    <w:rsid w:val="00CD64AC"/>
    <w:rsid w:val="00CD69CD"/>
    <w:rsid w:val="00CD6D08"/>
    <w:rsid w:val="00CD6E6A"/>
    <w:rsid w:val="00CD6ED2"/>
    <w:rsid w:val="00CD72D0"/>
    <w:rsid w:val="00CD77BC"/>
    <w:rsid w:val="00CD7B1E"/>
    <w:rsid w:val="00CE025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4F85"/>
    <w:rsid w:val="00CE51DB"/>
    <w:rsid w:val="00CE56DE"/>
    <w:rsid w:val="00CE5821"/>
    <w:rsid w:val="00CE5A00"/>
    <w:rsid w:val="00CE5A9F"/>
    <w:rsid w:val="00CE5D62"/>
    <w:rsid w:val="00CE6634"/>
    <w:rsid w:val="00CE6EDE"/>
    <w:rsid w:val="00CE7709"/>
    <w:rsid w:val="00CE7F4F"/>
    <w:rsid w:val="00CF033F"/>
    <w:rsid w:val="00CF0836"/>
    <w:rsid w:val="00CF0BD5"/>
    <w:rsid w:val="00CF0EED"/>
    <w:rsid w:val="00CF0F87"/>
    <w:rsid w:val="00CF0FE4"/>
    <w:rsid w:val="00CF196F"/>
    <w:rsid w:val="00CF2226"/>
    <w:rsid w:val="00CF282E"/>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63E"/>
    <w:rsid w:val="00D15834"/>
    <w:rsid w:val="00D15CC0"/>
    <w:rsid w:val="00D15D1D"/>
    <w:rsid w:val="00D15F07"/>
    <w:rsid w:val="00D1658D"/>
    <w:rsid w:val="00D1659C"/>
    <w:rsid w:val="00D16603"/>
    <w:rsid w:val="00D16F73"/>
    <w:rsid w:val="00D170DE"/>
    <w:rsid w:val="00D1719E"/>
    <w:rsid w:val="00D17739"/>
    <w:rsid w:val="00D17851"/>
    <w:rsid w:val="00D17BC2"/>
    <w:rsid w:val="00D17CC4"/>
    <w:rsid w:val="00D17D34"/>
    <w:rsid w:val="00D200C4"/>
    <w:rsid w:val="00D201F5"/>
    <w:rsid w:val="00D2085D"/>
    <w:rsid w:val="00D209C2"/>
    <w:rsid w:val="00D20A32"/>
    <w:rsid w:val="00D20BE8"/>
    <w:rsid w:val="00D20C0C"/>
    <w:rsid w:val="00D20F73"/>
    <w:rsid w:val="00D21882"/>
    <w:rsid w:val="00D218F9"/>
    <w:rsid w:val="00D21BB5"/>
    <w:rsid w:val="00D21D7F"/>
    <w:rsid w:val="00D22074"/>
    <w:rsid w:val="00D220BC"/>
    <w:rsid w:val="00D22282"/>
    <w:rsid w:val="00D22B84"/>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5E68"/>
    <w:rsid w:val="00D2660D"/>
    <w:rsid w:val="00D26666"/>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745"/>
    <w:rsid w:val="00D34893"/>
    <w:rsid w:val="00D34A3E"/>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8DD"/>
    <w:rsid w:val="00D41D3E"/>
    <w:rsid w:val="00D41DF4"/>
    <w:rsid w:val="00D41F81"/>
    <w:rsid w:val="00D43426"/>
    <w:rsid w:val="00D437B2"/>
    <w:rsid w:val="00D43A78"/>
    <w:rsid w:val="00D441F9"/>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D1"/>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0E2"/>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133"/>
    <w:rsid w:val="00D57206"/>
    <w:rsid w:val="00D57428"/>
    <w:rsid w:val="00D57813"/>
    <w:rsid w:val="00D57D87"/>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56E0"/>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E06"/>
    <w:rsid w:val="00D7423F"/>
    <w:rsid w:val="00D742D5"/>
    <w:rsid w:val="00D74558"/>
    <w:rsid w:val="00D749BE"/>
    <w:rsid w:val="00D74B6B"/>
    <w:rsid w:val="00D751E7"/>
    <w:rsid w:val="00D752FA"/>
    <w:rsid w:val="00D756E8"/>
    <w:rsid w:val="00D75AC1"/>
    <w:rsid w:val="00D75E0F"/>
    <w:rsid w:val="00D75F2C"/>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7A2"/>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BEB"/>
    <w:rsid w:val="00D903E2"/>
    <w:rsid w:val="00D90743"/>
    <w:rsid w:val="00D9074A"/>
    <w:rsid w:val="00D907E1"/>
    <w:rsid w:val="00D9097D"/>
    <w:rsid w:val="00D90C94"/>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03F"/>
    <w:rsid w:val="00DA15EB"/>
    <w:rsid w:val="00DA1960"/>
    <w:rsid w:val="00DA1B6E"/>
    <w:rsid w:val="00DA1CA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5F3"/>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90"/>
    <w:rsid w:val="00DE4A17"/>
    <w:rsid w:val="00DE5003"/>
    <w:rsid w:val="00DE5103"/>
    <w:rsid w:val="00DE5919"/>
    <w:rsid w:val="00DE5CFB"/>
    <w:rsid w:val="00DE5D1D"/>
    <w:rsid w:val="00DE60A2"/>
    <w:rsid w:val="00DE6444"/>
    <w:rsid w:val="00DE64B2"/>
    <w:rsid w:val="00DE747B"/>
    <w:rsid w:val="00DE74B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1D"/>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7126"/>
    <w:rsid w:val="00E0758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14EB"/>
    <w:rsid w:val="00E21CFE"/>
    <w:rsid w:val="00E22945"/>
    <w:rsid w:val="00E232BC"/>
    <w:rsid w:val="00E234D2"/>
    <w:rsid w:val="00E23B50"/>
    <w:rsid w:val="00E23BA8"/>
    <w:rsid w:val="00E24B0D"/>
    <w:rsid w:val="00E2508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14D"/>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A47"/>
    <w:rsid w:val="00E4041B"/>
    <w:rsid w:val="00E4081B"/>
    <w:rsid w:val="00E40B6E"/>
    <w:rsid w:val="00E40F3D"/>
    <w:rsid w:val="00E4114B"/>
    <w:rsid w:val="00E412D4"/>
    <w:rsid w:val="00E413B8"/>
    <w:rsid w:val="00E41514"/>
    <w:rsid w:val="00E416F3"/>
    <w:rsid w:val="00E41CD1"/>
    <w:rsid w:val="00E42AC9"/>
    <w:rsid w:val="00E42E26"/>
    <w:rsid w:val="00E4334B"/>
    <w:rsid w:val="00E43A2B"/>
    <w:rsid w:val="00E43D78"/>
    <w:rsid w:val="00E4440F"/>
    <w:rsid w:val="00E444A7"/>
    <w:rsid w:val="00E448CE"/>
    <w:rsid w:val="00E44B44"/>
    <w:rsid w:val="00E44FDA"/>
    <w:rsid w:val="00E454D5"/>
    <w:rsid w:val="00E45988"/>
    <w:rsid w:val="00E46553"/>
    <w:rsid w:val="00E468A7"/>
    <w:rsid w:val="00E46AFD"/>
    <w:rsid w:val="00E46F3D"/>
    <w:rsid w:val="00E47092"/>
    <w:rsid w:val="00E47690"/>
    <w:rsid w:val="00E47714"/>
    <w:rsid w:val="00E47AF9"/>
    <w:rsid w:val="00E47E9C"/>
    <w:rsid w:val="00E502E1"/>
    <w:rsid w:val="00E5088E"/>
    <w:rsid w:val="00E5093F"/>
    <w:rsid w:val="00E50940"/>
    <w:rsid w:val="00E50A4E"/>
    <w:rsid w:val="00E50BA4"/>
    <w:rsid w:val="00E50D07"/>
    <w:rsid w:val="00E510C0"/>
    <w:rsid w:val="00E510CF"/>
    <w:rsid w:val="00E51340"/>
    <w:rsid w:val="00E513E4"/>
    <w:rsid w:val="00E513F7"/>
    <w:rsid w:val="00E514E4"/>
    <w:rsid w:val="00E51758"/>
    <w:rsid w:val="00E517E5"/>
    <w:rsid w:val="00E51AA1"/>
    <w:rsid w:val="00E52089"/>
    <w:rsid w:val="00E52205"/>
    <w:rsid w:val="00E524D6"/>
    <w:rsid w:val="00E52983"/>
    <w:rsid w:val="00E5298C"/>
    <w:rsid w:val="00E5395F"/>
    <w:rsid w:val="00E53F4F"/>
    <w:rsid w:val="00E54B20"/>
    <w:rsid w:val="00E54D81"/>
    <w:rsid w:val="00E557E2"/>
    <w:rsid w:val="00E55F5E"/>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686"/>
    <w:rsid w:val="00E66A74"/>
    <w:rsid w:val="00E66C50"/>
    <w:rsid w:val="00E66FEF"/>
    <w:rsid w:val="00E673C4"/>
    <w:rsid w:val="00E674EC"/>
    <w:rsid w:val="00E6770F"/>
    <w:rsid w:val="00E67733"/>
    <w:rsid w:val="00E677CC"/>
    <w:rsid w:val="00E67D4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5E34"/>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68C"/>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925"/>
    <w:rsid w:val="00E87377"/>
    <w:rsid w:val="00E87423"/>
    <w:rsid w:val="00E87439"/>
    <w:rsid w:val="00E8797F"/>
    <w:rsid w:val="00E87B28"/>
    <w:rsid w:val="00E900C9"/>
    <w:rsid w:val="00E901C9"/>
    <w:rsid w:val="00E908F8"/>
    <w:rsid w:val="00E90C4E"/>
    <w:rsid w:val="00E90E2F"/>
    <w:rsid w:val="00E9157C"/>
    <w:rsid w:val="00E91C6C"/>
    <w:rsid w:val="00E92051"/>
    <w:rsid w:val="00E922A3"/>
    <w:rsid w:val="00E92B40"/>
    <w:rsid w:val="00E93548"/>
    <w:rsid w:val="00E93C32"/>
    <w:rsid w:val="00E93F94"/>
    <w:rsid w:val="00E9446F"/>
    <w:rsid w:val="00E9457D"/>
    <w:rsid w:val="00E94B0A"/>
    <w:rsid w:val="00E94C7C"/>
    <w:rsid w:val="00E94E86"/>
    <w:rsid w:val="00E95253"/>
    <w:rsid w:val="00E95631"/>
    <w:rsid w:val="00E95D2C"/>
    <w:rsid w:val="00E96640"/>
    <w:rsid w:val="00E967E2"/>
    <w:rsid w:val="00E96B2C"/>
    <w:rsid w:val="00E970DF"/>
    <w:rsid w:val="00E9713D"/>
    <w:rsid w:val="00E973A9"/>
    <w:rsid w:val="00E97A49"/>
    <w:rsid w:val="00E97A87"/>
    <w:rsid w:val="00E97C90"/>
    <w:rsid w:val="00E97DE1"/>
    <w:rsid w:val="00EA00D3"/>
    <w:rsid w:val="00EA065E"/>
    <w:rsid w:val="00EA0AE6"/>
    <w:rsid w:val="00EA12BB"/>
    <w:rsid w:val="00EA13B5"/>
    <w:rsid w:val="00EA1495"/>
    <w:rsid w:val="00EA163F"/>
    <w:rsid w:val="00EA16EF"/>
    <w:rsid w:val="00EA1CC5"/>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23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BC0"/>
    <w:rsid w:val="00EC0DAD"/>
    <w:rsid w:val="00EC0E2B"/>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B2D"/>
    <w:rsid w:val="00ED6F00"/>
    <w:rsid w:val="00ED7410"/>
    <w:rsid w:val="00EE06BF"/>
    <w:rsid w:val="00EE074A"/>
    <w:rsid w:val="00EE1421"/>
    <w:rsid w:val="00EE1449"/>
    <w:rsid w:val="00EE17FE"/>
    <w:rsid w:val="00EE1DB4"/>
    <w:rsid w:val="00EE1F8A"/>
    <w:rsid w:val="00EE206F"/>
    <w:rsid w:val="00EE21FF"/>
    <w:rsid w:val="00EE2A41"/>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5F32"/>
    <w:rsid w:val="00F16214"/>
    <w:rsid w:val="00F17AAF"/>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50"/>
    <w:rsid w:val="00F242E5"/>
    <w:rsid w:val="00F24B89"/>
    <w:rsid w:val="00F24BB0"/>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17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5E0"/>
    <w:rsid w:val="00F37902"/>
    <w:rsid w:val="00F37BEE"/>
    <w:rsid w:val="00F401FC"/>
    <w:rsid w:val="00F40495"/>
    <w:rsid w:val="00F40614"/>
    <w:rsid w:val="00F408D9"/>
    <w:rsid w:val="00F40B0E"/>
    <w:rsid w:val="00F40E25"/>
    <w:rsid w:val="00F4134D"/>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545"/>
    <w:rsid w:val="00F445A7"/>
    <w:rsid w:val="00F44807"/>
    <w:rsid w:val="00F44A58"/>
    <w:rsid w:val="00F45052"/>
    <w:rsid w:val="00F45667"/>
    <w:rsid w:val="00F45ABA"/>
    <w:rsid w:val="00F475D5"/>
    <w:rsid w:val="00F476A5"/>
    <w:rsid w:val="00F47795"/>
    <w:rsid w:val="00F478B6"/>
    <w:rsid w:val="00F47A89"/>
    <w:rsid w:val="00F47DF4"/>
    <w:rsid w:val="00F50166"/>
    <w:rsid w:val="00F50D03"/>
    <w:rsid w:val="00F50F2A"/>
    <w:rsid w:val="00F51A45"/>
    <w:rsid w:val="00F51B6A"/>
    <w:rsid w:val="00F51BB1"/>
    <w:rsid w:val="00F51C29"/>
    <w:rsid w:val="00F52BD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62A"/>
    <w:rsid w:val="00F66B84"/>
    <w:rsid w:val="00F66CF3"/>
    <w:rsid w:val="00F66D73"/>
    <w:rsid w:val="00F66E61"/>
    <w:rsid w:val="00F67576"/>
    <w:rsid w:val="00F67A40"/>
    <w:rsid w:val="00F67AA6"/>
    <w:rsid w:val="00F707EF"/>
    <w:rsid w:val="00F70A0D"/>
    <w:rsid w:val="00F70AAC"/>
    <w:rsid w:val="00F70E80"/>
    <w:rsid w:val="00F70FDE"/>
    <w:rsid w:val="00F71092"/>
    <w:rsid w:val="00F7148A"/>
    <w:rsid w:val="00F715E2"/>
    <w:rsid w:val="00F717A0"/>
    <w:rsid w:val="00F71C6F"/>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82"/>
    <w:rsid w:val="00F746B1"/>
    <w:rsid w:val="00F74BAA"/>
    <w:rsid w:val="00F752B2"/>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083"/>
    <w:rsid w:val="00F9063E"/>
    <w:rsid w:val="00F90831"/>
    <w:rsid w:val="00F90872"/>
    <w:rsid w:val="00F90AD2"/>
    <w:rsid w:val="00F9174F"/>
    <w:rsid w:val="00F91BEB"/>
    <w:rsid w:val="00F91E3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BA1"/>
    <w:rsid w:val="00FA7DC8"/>
    <w:rsid w:val="00FA7DEC"/>
    <w:rsid w:val="00FB06A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09"/>
    <w:rsid w:val="00FB5BAB"/>
    <w:rsid w:val="00FB5EBD"/>
    <w:rsid w:val="00FB6071"/>
    <w:rsid w:val="00FB65B0"/>
    <w:rsid w:val="00FB6F66"/>
    <w:rsid w:val="00FB7255"/>
    <w:rsid w:val="00FB7E6F"/>
    <w:rsid w:val="00FB7F73"/>
    <w:rsid w:val="00FC048F"/>
    <w:rsid w:val="00FC09B6"/>
    <w:rsid w:val="00FC09E8"/>
    <w:rsid w:val="00FC0CFB"/>
    <w:rsid w:val="00FC11CE"/>
    <w:rsid w:val="00FC11DF"/>
    <w:rsid w:val="00FC13C3"/>
    <w:rsid w:val="00FC1486"/>
    <w:rsid w:val="00FC1665"/>
    <w:rsid w:val="00FC1A44"/>
    <w:rsid w:val="00FC1C83"/>
    <w:rsid w:val="00FC1E9E"/>
    <w:rsid w:val="00FC1F77"/>
    <w:rsid w:val="00FC246B"/>
    <w:rsid w:val="00FC249D"/>
    <w:rsid w:val="00FC283B"/>
    <w:rsid w:val="00FC29D1"/>
    <w:rsid w:val="00FC30D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17B"/>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5A"/>
    <w:rsid w:val="00FE6378"/>
    <w:rsid w:val="00FE6853"/>
    <w:rsid w:val="00FE695C"/>
    <w:rsid w:val="00FE6A05"/>
    <w:rsid w:val="00FE702B"/>
    <w:rsid w:val="00FE7729"/>
    <w:rsid w:val="00FE776B"/>
    <w:rsid w:val="00FE7A7B"/>
    <w:rsid w:val="00FE7D17"/>
    <w:rsid w:val="00FE7D91"/>
    <w:rsid w:val="00FF03A1"/>
    <w:rsid w:val="00FF0666"/>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F22"/>
    <w:rsid w:val="11E021A4"/>
    <w:rsid w:val="1ED732B4"/>
    <w:rsid w:val="375C4914"/>
    <w:rsid w:val="75405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semiHidden="0" w:name="annotation text"/>
    <w:lsdException w:qFormat="1" w:unhideWhenUsed="0" w:uiPriority="99"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2"/>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5"/>
    <w:qFormat/>
    <w:uiPriority w:val="0"/>
    <w:pPr>
      <w:numPr>
        <w:numId w:val="0"/>
      </w:numPr>
      <w:pBdr>
        <w:top w:val="none" w:color="auto" w:sz="0" w:space="0"/>
      </w:pBdr>
      <w:spacing w:before="180"/>
      <w:ind w:right="100" w:rightChars="100"/>
      <w:outlineLvl w:val="1"/>
    </w:pPr>
    <w:rPr>
      <w:sz w:val="28"/>
    </w:rPr>
  </w:style>
  <w:style w:type="paragraph" w:styleId="4">
    <w:name w:val="heading 3"/>
    <w:basedOn w:val="3"/>
    <w:next w:val="1"/>
    <w:link w:val="163"/>
    <w:qFormat/>
    <w:uiPriority w:val="0"/>
    <w:pPr>
      <w:spacing w:before="120"/>
      <w:outlineLvl w:val="2"/>
    </w:pPr>
  </w:style>
  <w:style w:type="paragraph" w:styleId="5">
    <w:name w:val="heading 4"/>
    <w:basedOn w:val="3"/>
    <w:next w:val="1"/>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qFormat/>
    <w:uiPriority w:val="0"/>
    <w:pPr>
      <w:tabs>
        <w:tab w:val="left" w:pos="567"/>
      </w:tabs>
      <w:outlineLvl w:val="5"/>
    </w:pPr>
  </w:style>
  <w:style w:type="paragraph" w:styleId="9">
    <w:name w:val="heading 7"/>
    <w:basedOn w:val="8"/>
    <w:next w:val="1"/>
    <w:qFormat/>
    <w:uiPriority w:val="0"/>
    <w:pPr>
      <w:tabs>
        <w:tab w:val="left" w:pos="567"/>
      </w:tabs>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6">
    <w:name w:val="Default Paragraph Font"/>
    <w:semiHidden/>
    <w:unhideWhenUsed/>
    <w:uiPriority w:val="1"/>
  </w:style>
  <w:style w:type="table" w:default="1" w:styleId="41">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link w:val="83"/>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uiPriority w:val="0"/>
    <w:pPr>
      <w:numPr>
        <w:ilvl w:val="0"/>
        <w:numId w:val="2"/>
      </w:numPr>
      <w:tabs>
        <w:tab w:val="left" w:pos="1600"/>
        <w:tab w:val="clear" w:pos="1418"/>
      </w:tabs>
      <w:ind w:left="1543"/>
    </w:pPr>
  </w:style>
  <w:style w:type="paragraph" w:styleId="23">
    <w:name w:val="List Number"/>
    <w:basedOn w:val="14"/>
    <w:uiPriority w:val="0"/>
    <w:pPr>
      <w:numPr>
        <w:ilvl w:val="0"/>
        <w:numId w:val="3"/>
      </w:numPr>
    </w:pPr>
  </w:style>
  <w:style w:type="paragraph" w:styleId="24">
    <w:name w:val="caption"/>
    <w:basedOn w:val="1"/>
    <w:next w:val="1"/>
    <w:link w:val="16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uiPriority w:val="0"/>
    <w:pPr>
      <w:shd w:val="clear" w:color="auto" w:fill="000080"/>
    </w:pPr>
    <w:rPr>
      <w:rFonts w:ascii="CG Times (WN)" w:hAnsi="CG Times (WN)" w:cs="CG Times (WN)"/>
    </w:rPr>
  </w:style>
  <w:style w:type="paragraph" w:styleId="27">
    <w:name w:val="annotation text"/>
    <w:basedOn w:val="1"/>
    <w:link w:val="129"/>
    <w:uiPriority w:val="0"/>
  </w:style>
  <w:style w:type="paragraph" w:styleId="28">
    <w:name w:val="Body Text"/>
    <w:basedOn w:val="1"/>
    <w:link w:val="141"/>
    <w:qFormat/>
    <w:uiPriority w:val="0"/>
    <w:pPr>
      <w:spacing w:afterLines="60"/>
      <w:jc w:val="both"/>
    </w:pPr>
    <w:rPr>
      <w:szCs w:val="24"/>
      <w:lang w:val="en-US"/>
    </w:rPr>
  </w:style>
  <w:style w:type="paragraph" w:styleId="29">
    <w:name w:val="toc 8"/>
    <w:basedOn w:val="21"/>
    <w:next w:val="1"/>
    <w:semiHidden/>
    <w:uiPriority w:val="0"/>
    <w:pPr>
      <w:spacing w:before="180"/>
      <w:ind w:left="2693" w:hanging="2693"/>
    </w:pPr>
    <w:rPr>
      <w:b/>
    </w:rPr>
  </w:style>
  <w:style w:type="paragraph" w:styleId="30">
    <w:name w:val="Balloon Text"/>
    <w:basedOn w:val="1"/>
    <w:semiHidden/>
    <w:uiPriority w:val="0"/>
    <w:rPr>
      <w:rFonts w:ascii="CG Times (WN)" w:hAnsi="CG Times (WN)" w:cs="CG Times (WN)"/>
      <w:sz w:val="16"/>
      <w:szCs w:val="16"/>
    </w:rPr>
  </w:style>
  <w:style w:type="paragraph" w:styleId="31">
    <w:name w:val="footer"/>
    <w:basedOn w:val="32"/>
    <w:uiPriority w:val="0"/>
    <w:pPr>
      <w:jc w:val="center"/>
    </w:pPr>
    <w:rPr>
      <w:i/>
    </w:rPr>
  </w:style>
  <w:style w:type="paragraph" w:styleId="32">
    <w:name w:val="header"/>
    <w:link w:val="136"/>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uiPriority w:val="0"/>
    <w:pPr>
      <w:ind w:left="1702"/>
    </w:pPr>
  </w:style>
  <w:style w:type="paragraph" w:styleId="35">
    <w:name w:val="List 4"/>
    <w:basedOn w:val="12"/>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5"/>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43">
    <w:name w:val="Table Simple 1"/>
    <w:basedOn w:val="41"/>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bottom w:val="single" w:color="008000" w:sz="6" w:space="0"/>
          <w:tl2br w:val="nil"/>
          <w:tr2bl w:val="nil"/>
        </w:tcBorders>
      </w:tcPr>
    </w:tblStylePr>
    <w:tblStylePr w:type="lastRow">
      <w:tblPr>
        <w:tblLayout w:type="fixed"/>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bottom w:val="single" w:color="000000" w:sz="12" w:space="0"/>
          <w:tl2br w:val="nil"/>
          <w:tr2bl w:val="nil"/>
        </w:tcBorders>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styleId="47">
    <w:name w:val="Hyperlink"/>
    <w:qFormat/>
    <w:uiPriority w:val="0"/>
    <w:rPr>
      <w:rFonts w:eastAsia="宋体"/>
      <w:color w:val="0000FF"/>
      <w:u w:val="single"/>
      <w:lang w:val="en-US" w:eastAsia="zh-CN" w:bidi="ar-SA"/>
    </w:rPr>
  </w:style>
  <w:style w:type="character" w:styleId="48">
    <w:name w:val="annotation reference"/>
    <w:qFormat/>
    <w:uiPriority w:val="99"/>
    <w:rPr>
      <w:rFonts w:eastAsia="宋体"/>
      <w:sz w:val="16"/>
      <w:lang w:val="en-US" w:eastAsia="zh-CN" w:bidi="ar-SA"/>
    </w:rPr>
  </w:style>
  <w:style w:type="character" w:styleId="49">
    <w:name w:val="footnote reference"/>
    <w:semiHidden/>
    <w:qFormat/>
    <w:uiPriority w:val="0"/>
    <w:rPr>
      <w:rFonts w:eastAsia="宋体"/>
      <w:b/>
      <w:position w:val="6"/>
      <w:sz w:val="16"/>
      <w:lang w:val="en-US" w:eastAsia="zh-CN"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2">
    <w:name w:val="标题 1 Char"/>
    <w:link w:val="2"/>
    <w:uiPriority w:val="0"/>
    <w:rPr>
      <w:rFonts w:ascii="Arial" w:hAnsi="Arial"/>
      <w:sz w:val="32"/>
      <w:lang w:val="en-GB" w:eastAsia="en-US"/>
    </w:rPr>
  </w:style>
  <w:style w:type="paragraph" w:customStyle="1" w:styleId="53">
    <w:name w:val="TAH"/>
    <w:basedOn w:val="54"/>
    <w:link w:val="156"/>
    <w:qFormat/>
    <w:uiPriority w:val="0"/>
    <w:rPr>
      <w:b/>
    </w:rPr>
  </w:style>
  <w:style w:type="paragraph" w:customStyle="1" w:styleId="54">
    <w:name w:val="TAC"/>
    <w:basedOn w:val="55"/>
    <w:link w:val="158"/>
    <w:uiPriority w:val="0"/>
    <w:pPr>
      <w:jc w:val="center"/>
    </w:pPr>
  </w:style>
  <w:style w:type="paragraph" w:customStyle="1" w:styleId="55">
    <w:name w:val="TAL"/>
    <w:basedOn w:val="1"/>
    <w:link w:val="95"/>
    <w:qFormat/>
    <w:uiPriority w:val="0"/>
    <w:pPr>
      <w:keepNext/>
      <w:keepLines/>
      <w:spacing w:after="0"/>
    </w:pPr>
    <w:rPr>
      <w:rFonts w:ascii="Arial" w:hAnsi="Arial"/>
      <w:sz w:val="18"/>
    </w:rPr>
  </w:style>
  <w:style w:type="paragraph" w:customStyle="1" w:styleId="56">
    <w:name w:val="TF"/>
    <w:basedOn w:val="57"/>
    <w:link w:val="135"/>
    <w:qFormat/>
    <w:uiPriority w:val="0"/>
    <w:pPr>
      <w:keepNext w:val="0"/>
      <w:spacing w:before="0" w:after="240"/>
    </w:pPr>
  </w:style>
  <w:style w:type="paragraph" w:customStyle="1" w:styleId="57">
    <w:name w:val="TH"/>
    <w:basedOn w:val="1"/>
    <w:link w:val="111"/>
    <w:qFormat/>
    <w:uiPriority w:val="0"/>
    <w:pPr>
      <w:keepNext/>
      <w:keepLines/>
      <w:spacing w:before="60"/>
      <w:jc w:val="center"/>
    </w:pPr>
    <w:rPr>
      <w:rFonts w:ascii="Arial" w:hAnsi="Arial"/>
      <w:b/>
    </w:rPr>
  </w:style>
  <w:style w:type="paragraph" w:customStyle="1" w:styleId="58">
    <w:name w:val="NO"/>
    <w:basedOn w:val="1"/>
    <w:link w:val="59"/>
    <w:uiPriority w:val="0"/>
    <w:pPr>
      <w:keepLines/>
      <w:ind w:left="1135" w:hanging="851"/>
    </w:pPr>
  </w:style>
  <w:style w:type="character" w:customStyle="1" w:styleId="59">
    <w:name w:val="NO Char"/>
    <w:link w:val="58"/>
    <w:qFormat/>
    <w:uiPriority w:val="0"/>
    <w:rPr>
      <w:rFonts w:eastAsia="宋体"/>
      <w:lang w:val="en-GB" w:eastAsia="en-US" w:bidi="ar-SA"/>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uiPriority w:val="0"/>
    <w:pPr>
      <w:spacing w:after="0"/>
    </w:p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Reference"/>
    <w:basedOn w:val="1"/>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0">
    <w:name w:val="TAR"/>
    <w:basedOn w:val="55"/>
    <w:uiPriority w:val="0"/>
    <w:pPr>
      <w:jc w:val="right"/>
    </w:pPr>
  </w:style>
  <w:style w:type="paragraph" w:customStyle="1" w:styleId="71">
    <w:name w:val="TAN"/>
    <w:basedOn w:val="55"/>
    <w:qFormat/>
    <w:uiPriority w:val="0"/>
    <w:pPr>
      <w:ind w:left="851" w:hanging="851"/>
    </w:pPr>
  </w:style>
  <w:style w:type="paragraph" w:customStyle="1" w:styleId="72">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uiPriority w:val="0"/>
    <w:rPr>
      <w:rFonts w:eastAsia="宋体"/>
      <w:color w:val="FF0000"/>
      <w:lang w:val="en-GB" w:eastAsia="en-US" w:bidi="ar-SA"/>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4"/>
    <w:link w:val="84"/>
    <w:qFormat/>
    <w:uiPriority w:val="0"/>
  </w:style>
  <w:style w:type="character" w:customStyle="1" w:styleId="83">
    <w:name w:val="列表 Char"/>
    <w:link w:val="14"/>
    <w:qFormat/>
    <w:uiPriority w:val="0"/>
    <w:rPr>
      <w:rFonts w:eastAsia="宋体"/>
      <w:lang w:val="en-GB" w:eastAsia="en-US" w:bidi="ar-SA"/>
    </w:rPr>
  </w:style>
  <w:style w:type="character" w:customStyle="1" w:styleId="84">
    <w:name w:val="样式 列表 + (西文) MS Mincho Char"/>
    <w:basedOn w:val="83"/>
    <w:link w:val="82"/>
    <w:uiPriority w:val="0"/>
    <w:rPr>
      <w:rFonts w:eastAsia="宋体"/>
      <w:lang w:val="en-GB" w:eastAsia="en-US" w:bidi="ar-SA"/>
    </w:rPr>
  </w:style>
  <w:style w:type="paragraph" w:customStyle="1" w:styleId="85">
    <w:name w:val="B4"/>
    <w:basedOn w:val="35"/>
    <w:link w:val="86"/>
    <w:uiPriority w:val="0"/>
  </w:style>
  <w:style w:type="character" w:customStyle="1" w:styleId="86">
    <w:name w:val="B4 Char"/>
    <w:link w:val="85"/>
    <w:uiPriority w:val="0"/>
    <w:rPr>
      <w:rFonts w:eastAsia="宋体"/>
      <w:lang w:val="en-GB" w:eastAsia="en-US" w:bidi="ar-SA"/>
    </w:rPr>
  </w:style>
  <w:style w:type="paragraph" w:customStyle="1" w:styleId="87">
    <w:name w:val="B5"/>
    <w:basedOn w:val="34"/>
    <w:qFormat/>
    <w:uiPriority w:val="0"/>
  </w:style>
  <w:style w:type="paragraph" w:customStyle="1" w:styleId="88">
    <w:name w:val="ZTD"/>
    <w:basedOn w:val="73"/>
    <w:uiPriority w:val="0"/>
    <w:pPr>
      <w:framePr w:hRule="auto" w:y="852"/>
    </w:pPr>
    <w:rPr>
      <w:i w:val="0"/>
      <w:sz w:val="40"/>
    </w:rPr>
  </w:style>
  <w:style w:type="paragraph" w:customStyle="1" w:styleId="89">
    <w:name w:val="CR Cover Page"/>
    <w:link w:val="159"/>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character" w:customStyle="1" w:styleId="91">
    <w:name w:val="访问过的超链接1"/>
    <w:qFormat/>
    <w:uiPriority w:val="0"/>
    <w:rPr>
      <w:rFonts w:eastAsia="宋体"/>
      <w:color w:val="800080"/>
      <w:u w:val="single"/>
      <w:lang w:val="en-US" w:eastAsia="zh-CN" w:bidi="ar-SA"/>
    </w:rPr>
  </w:style>
  <w:style w:type="paragraph" w:customStyle="1" w:styleId="92">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3">
    <w:name w:val="TAL Char Char"/>
    <w:basedOn w:val="1"/>
    <w:link w:val="9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5">
    <w:name w:val="TAL Car"/>
    <w:link w:val="55"/>
    <w:qFormat/>
    <w:uiPriority w:val="0"/>
    <w:rPr>
      <w:rFonts w:ascii="Arial" w:hAnsi="Arial" w:eastAsia="宋体"/>
      <w:sz w:val="18"/>
      <w:lang w:val="en-GB" w:eastAsia="en-US" w:bidi="ar-SA"/>
    </w:rPr>
  </w:style>
  <w:style w:type="paragraph" w:customStyle="1" w:styleId="96">
    <w:name w:val="00 BodyText"/>
    <w:basedOn w:val="1"/>
    <w:qFormat/>
    <w:uiPriority w:val="0"/>
    <w:pPr>
      <w:spacing w:after="220"/>
    </w:pPr>
    <w:rPr>
      <w:rFonts w:ascii="Arial" w:hAnsi="Arial"/>
      <w:sz w:val="22"/>
      <w:lang w:val="en-US"/>
    </w:rPr>
  </w:style>
  <w:style w:type="character" w:customStyle="1" w:styleId="97">
    <w:name w:val="TAL Char Char Char"/>
    <w:link w:val="93"/>
    <w:uiPriority w:val="0"/>
    <w:rPr>
      <w:rFonts w:ascii="Arial" w:hAnsi="Arial" w:eastAsia="宋体"/>
      <w:sz w:val="18"/>
      <w:lang w:val="en-GB" w:eastAsia="en-US" w:bidi="ar-SA"/>
    </w:rPr>
  </w:style>
  <w:style w:type="paragraph" w:customStyle="1" w:styleId="98">
    <w:name w:val="样式 图表标题 + (中文) 宋体"/>
    <w:basedOn w:val="99"/>
    <w:qFormat/>
    <w:uiPriority w:val="0"/>
    <w:rPr>
      <w:rFonts w:eastAsia="Arial"/>
    </w:rPr>
  </w:style>
  <w:style w:type="paragraph" w:customStyle="1" w:styleId="99">
    <w:name w:val="图表标题"/>
    <w:basedOn w:val="1"/>
    <w:next w:val="1"/>
    <w:uiPriority w:val="0"/>
    <w:pPr>
      <w:spacing w:before="60" w:after="60"/>
      <w:jc w:val="center"/>
    </w:pPr>
    <w:rPr>
      <w:rFonts w:ascii="Arial" w:hAnsi="Arial" w:eastAsia="Helvetica" w:cs="宋体"/>
    </w:rPr>
  </w:style>
  <w:style w:type="character" w:customStyle="1" w:styleId="100">
    <w:name w:val="PL Char"/>
    <w:link w:val="69"/>
    <w:qFormat/>
    <w:uiPriority w:val="0"/>
    <w:rPr>
      <w:rFonts w:ascii="Tahoma" w:hAnsi="Tahoma"/>
      <w:sz w:val="16"/>
      <w:lang w:val="en-GB" w:eastAsia="en-US" w:bidi="ar-SA"/>
    </w:rPr>
  </w:style>
  <w:style w:type="paragraph" w:customStyle="1" w:styleId="101">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Char Char Char"/>
    <w:basedOn w:val="1"/>
    <w:semiHidden/>
    <w:uiPriority w:val="0"/>
    <w:pPr>
      <w:spacing w:after="160" w:line="240" w:lineRule="exact"/>
    </w:pPr>
    <w:rPr>
      <w:rFonts w:ascii="Arial" w:hAnsi="Arial" w:cs="Arial"/>
      <w:color w:val="0000FF"/>
      <w:kern w:val="2"/>
      <w:lang w:val="en-US" w:eastAsia="zh-CN"/>
    </w:rPr>
  </w:style>
  <w:style w:type="paragraph" w:customStyle="1" w:styleId="104">
    <w:name w:val="memo header"/>
    <w:basedOn w:val="1"/>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5">
    <w:name w:val="B1"/>
    <w:basedOn w:val="14"/>
    <w:link w:val="106"/>
    <w:qFormat/>
    <w:uiPriority w:val="0"/>
    <w:pPr>
      <w:ind w:left="568" w:hanging="284"/>
    </w:pPr>
    <w:rPr>
      <w:rFonts w:eastAsia="MS LineDraw"/>
      <w:lang w:eastAsia="ja-JP"/>
    </w:rPr>
  </w:style>
  <w:style w:type="character" w:customStyle="1" w:styleId="106">
    <w:name w:val="B1 Char1"/>
    <w:link w:val="105"/>
    <w:uiPriority w:val="0"/>
    <w:rPr>
      <w:rFonts w:eastAsia="MS LineDraw"/>
      <w:lang w:val="en-GB" w:eastAsia="ja-JP" w:bidi="ar-SA"/>
    </w:rPr>
  </w:style>
  <w:style w:type="character" w:customStyle="1" w:styleId="107">
    <w:name w:val="首标题"/>
    <w:uiPriority w:val="0"/>
    <w:rPr>
      <w:rFonts w:ascii="Arial" w:hAnsi="Arial" w:eastAsia="宋体"/>
      <w:sz w:val="24"/>
      <w:lang w:val="en-US" w:eastAsia="zh-CN" w:bidi="ar-SA"/>
    </w:rPr>
  </w:style>
  <w:style w:type="paragraph" w:customStyle="1" w:styleId="108">
    <w:name w:val="标题4"/>
    <w:basedOn w:val="1"/>
    <w:uiPriority w:val="0"/>
    <w:pPr>
      <w:numPr>
        <w:ilvl w:val="0"/>
        <w:numId w:val="6"/>
      </w:numPr>
    </w:pPr>
  </w:style>
  <w:style w:type="paragraph" w:customStyle="1" w:styleId="109">
    <w:name w:val="插图题注"/>
    <w:basedOn w:val="1"/>
    <w:uiPriority w:val="0"/>
  </w:style>
  <w:style w:type="paragraph" w:customStyle="1" w:styleId="110">
    <w:name w:val="表格题注"/>
    <w:basedOn w:val="1"/>
    <w:uiPriority w:val="0"/>
  </w:style>
  <w:style w:type="character" w:customStyle="1" w:styleId="111">
    <w:name w:val="TH Char"/>
    <w:link w:val="57"/>
    <w:qFormat/>
    <w:uiPriority w:val="0"/>
    <w:rPr>
      <w:rFonts w:ascii="Arial" w:hAnsi="Arial" w:eastAsia="宋体"/>
      <w:b/>
      <w:lang w:val="en-GB" w:eastAsia="en-US" w:bidi="ar-SA"/>
    </w:rPr>
  </w:style>
  <w:style w:type="paragraph" w:customStyle="1" w:styleId="112">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3">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4">
    <w:name w:val="样式1"/>
    <w:basedOn w:val="1"/>
    <w:uiPriority w:val="0"/>
  </w:style>
  <w:style w:type="character" w:customStyle="1" w:styleId="115">
    <w:name w:val="标题 2 Char"/>
    <w:link w:val="3"/>
    <w:qFormat/>
    <w:uiPriority w:val="0"/>
    <w:rPr>
      <w:rFonts w:ascii="Arial" w:hAnsi="Arial" w:eastAsia="宋体"/>
      <w:sz w:val="28"/>
      <w:lang w:val="en-GB" w:eastAsia="en-US"/>
    </w:rPr>
  </w:style>
  <w:style w:type="paragraph" w:customStyle="1" w:styleId="116">
    <w:name w:val="Char Char1 Char Char Char Char1 Char Char Char Char"/>
    <w:basedOn w:val="1"/>
    <w:uiPriority w:val="0"/>
    <w:pPr>
      <w:widowControl w:val="0"/>
      <w:spacing w:after="0"/>
      <w:jc w:val="both"/>
    </w:pPr>
    <w:rPr>
      <w:rFonts w:eastAsia="Times New Roman"/>
      <w:kern w:val="2"/>
      <w:lang w:eastAsia="zh-CN"/>
    </w:rPr>
  </w:style>
  <w:style w:type="paragraph" w:customStyle="1" w:styleId="11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文字) (文字)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
    <w:name w:val="yinbiao"/>
    <w:basedOn w:val="46"/>
    <w:uiPriority w:val="0"/>
  </w:style>
  <w:style w:type="character" w:customStyle="1" w:styleId="120">
    <w:name w:val="textbodybold1"/>
    <w:uiPriority w:val="0"/>
    <w:rPr>
      <w:rFonts w:hint="default" w:ascii="Arial" w:hAnsi="Arial" w:eastAsia="宋体" w:cs="Arial"/>
      <w:b/>
      <w:bCs/>
      <w:color w:val="902630"/>
      <w:sz w:val="18"/>
      <w:szCs w:val="18"/>
      <w:lang w:val="en-US" w:eastAsia="zh-CN" w:bidi="ar-SA"/>
    </w:rPr>
  </w:style>
  <w:style w:type="paragraph" w:styleId="121">
    <w:name w:val="List Paragraph"/>
    <w:basedOn w:val="1"/>
    <w:qFormat/>
    <w:uiPriority w:val="34"/>
    <w:pPr>
      <w:spacing w:after="200" w:line="276" w:lineRule="auto"/>
      <w:ind w:left="720"/>
      <w:contextualSpacing/>
    </w:pPr>
    <w:rPr>
      <w:rFonts w:ascii="Batang" w:hAnsi="Batang" w:eastAsia="Batang"/>
      <w:sz w:val="22"/>
      <w:szCs w:val="22"/>
      <w:lang w:val="en-US"/>
    </w:rPr>
  </w:style>
  <w:style w:type="character" w:customStyle="1" w:styleId="122">
    <w:name w:val="stc_en_txt1"/>
    <w:qFormat/>
    <w:uiPriority w:val="0"/>
    <w:rPr>
      <w:rFonts w:eastAsia="宋体"/>
      <w:color w:val="545454"/>
      <w:sz w:val="25"/>
      <w:szCs w:val="25"/>
      <w:lang w:val="en-US" w:eastAsia="zh-CN" w:bidi="ar-SA"/>
    </w:rPr>
  </w:style>
  <w:style w:type="paragraph" w:customStyle="1" w:styleId="123">
    <w:name w:val="Doc-text2"/>
    <w:basedOn w:val="1"/>
    <w:link w:val="124"/>
    <w:qFormat/>
    <w:uiPriority w:val="0"/>
    <w:pPr>
      <w:tabs>
        <w:tab w:val="left" w:pos="1622"/>
      </w:tabs>
      <w:spacing w:after="0"/>
      <w:ind w:left="1622" w:hanging="363"/>
    </w:pPr>
    <w:rPr>
      <w:rFonts w:ascii="Arial" w:hAnsi="Arial"/>
      <w:szCs w:val="24"/>
      <w:lang w:eastAsia="en-GB"/>
    </w:rPr>
  </w:style>
  <w:style w:type="character" w:customStyle="1" w:styleId="124">
    <w:name w:val="Doc-text2 Char"/>
    <w:link w:val="123"/>
    <w:qFormat/>
    <w:uiPriority w:val="0"/>
    <w:rPr>
      <w:rFonts w:ascii="Arial" w:hAnsi="Arial" w:eastAsia="宋体"/>
      <w:szCs w:val="24"/>
      <w:lang w:val="en-GB" w:eastAsia="en-GB" w:bidi="ar-SA"/>
    </w:rPr>
  </w:style>
  <w:style w:type="character" w:customStyle="1" w:styleId="125">
    <w:name w:val="trans"/>
    <w:basedOn w:val="46"/>
    <w:qFormat/>
    <w:uiPriority w:val="0"/>
  </w:style>
  <w:style w:type="paragraph" w:customStyle="1" w:styleId="126">
    <w:name w:val="Revision"/>
    <w:hidden/>
    <w:semiHidden/>
    <w:qFormat/>
    <w:uiPriority w:val="99"/>
    <w:rPr>
      <w:rFonts w:ascii="Times New Roman" w:hAnsi="Times New Roman" w:eastAsia="宋体" w:cs="Times New Roman"/>
      <w:lang w:val="en-GB" w:eastAsia="en-US" w:bidi="ar-SA"/>
    </w:rPr>
  </w:style>
  <w:style w:type="character" w:customStyle="1" w:styleId="127">
    <w:name w:val="st1"/>
    <w:basedOn w:val="46"/>
    <w:qFormat/>
    <w:uiPriority w:val="0"/>
  </w:style>
  <w:style w:type="character" w:customStyle="1" w:styleId="128">
    <w:name w:val="B1 Zchn"/>
    <w:qFormat/>
    <w:uiPriority w:val="0"/>
    <w:rPr>
      <w:rFonts w:ascii="Arial" w:hAnsi="Arial" w:eastAsia="MS LineDraw" w:cs="Arial"/>
      <w:color w:val="0000FF"/>
      <w:kern w:val="2"/>
      <w:lang w:val="en-GB" w:eastAsia="en-US" w:bidi="ar-SA"/>
    </w:rPr>
  </w:style>
  <w:style w:type="character" w:customStyle="1" w:styleId="129">
    <w:name w:val="批注文字 Char"/>
    <w:link w:val="27"/>
    <w:qFormat/>
    <w:uiPriority w:val="0"/>
    <w:rPr>
      <w:rFonts w:eastAsia="宋体"/>
      <w:lang w:val="en-GB" w:eastAsia="en-US" w:bidi="ar-SA"/>
    </w:rPr>
  </w:style>
  <w:style w:type="paragraph" w:customStyle="1" w:styleId="130">
    <w:name w:val="Proposal"/>
    <w:basedOn w:val="1"/>
    <w:link w:val="145"/>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1">
    <w:name w:val="im-content2"/>
    <w:qFormat/>
    <w:uiPriority w:val="0"/>
    <w:rPr>
      <w:rFonts w:eastAsia="宋体"/>
      <w:color w:val="333333"/>
      <w:lang w:val="en-US" w:eastAsia="zh-CN" w:bidi="ar-SA"/>
    </w:rPr>
  </w:style>
  <w:style w:type="character" w:customStyle="1" w:styleId="132">
    <w:name w:val="im-content1"/>
    <w:qFormat/>
    <w:uiPriority w:val="0"/>
    <w:rPr>
      <w:rFonts w:eastAsia="宋体"/>
      <w:color w:val="333333"/>
      <w:lang w:val="en-US" w:eastAsia="zh-CN" w:bidi="ar-SA"/>
    </w:rPr>
  </w:style>
  <w:style w:type="paragraph" w:customStyle="1" w:styleId="133">
    <w:name w:val="B3"/>
    <w:basedOn w:val="12"/>
    <w:link w:val="134"/>
    <w:qFormat/>
    <w:uiPriority w:val="0"/>
    <w:pPr>
      <w:ind w:hanging="284"/>
    </w:pPr>
  </w:style>
  <w:style w:type="character" w:customStyle="1" w:styleId="134">
    <w:name w:val="B3 Char2"/>
    <w:link w:val="133"/>
    <w:qFormat/>
    <w:uiPriority w:val="0"/>
    <w:rPr>
      <w:rFonts w:eastAsia="宋体"/>
      <w:lang w:val="en-GB" w:eastAsia="en-US" w:bidi="ar-SA"/>
    </w:rPr>
  </w:style>
  <w:style w:type="character" w:customStyle="1" w:styleId="135">
    <w:name w:val="TF Zchn"/>
    <w:link w:val="56"/>
    <w:qFormat/>
    <w:locked/>
    <w:uiPriority w:val="0"/>
    <w:rPr>
      <w:rFonts w:ascii="Arial" w:hAnsi="Arial" w:eastAsia="宋体"/>
      <w:b/>
      <w:lang w:val="en-GB" w:eastAsia="en-US"/>
    </w:rPr>
  </w:style>
  <w:style w:type="character" w:customStyle="1" w:styleId="136">
    <w:name w:val="页眉 Char"/>
    <w:link w:val="32"/>
    <w:qFormat/>
    <w:uiPriority w:val="99"/>
    <w:rPr>
      <w:rFonts w:ascii="Arial" w:hAnsi="Arial"/>
      <w:b/>
      <w:sz w:val="18"/>
      <w:lang w:val="en-GB" w:eastAsia="en-US" w:bidi="ar-SA"/>
    </w:rPr>
  </w:style>
  <w:style w:type="paragraph" w:customStyle="1" w:styleId="137">
    <w:name w:val="Observation"/>
    <w:basedOn w:val="130"/>
    <w:qFormat/>
    <w:uiPriority w:val="0"/>
    <w:pPr>
      <w:numPr>
        <w:ilvl w:val="0"/>
        <w:numId w:val="9"/>
      </w:numPr>
      <w:ind w:left="1701" w:hanging="1701"/>
    </w:pPr>
  </w:style>
  <w:style w:type="table" w:customStyle="1" w:styleId="138">
    <w:name w:val="中等深浅底纹 2 - 强调文字颜色 11"/>
    <w:basedOn w:val="41"/>
    <w:qFormat/>
    <w:uiPriority w:val="64"/>
    <w:tblPr>
      <w:tblBorders>
        <w:top w:val="single" w:color="auto" w:sz="18" w:space="0"/>
        <w:bottom w:val="single" w:color="auto" w:sz="18" w:space="0"/>
      </w:tblBorders>
      <w:tblLayout w:type="fixed"/>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39">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0">
    <w:name w:val="TF Char"/>
    <w:qFormat/>
    <w:uiPriority w:val="0"/>
    <w:rPr>
      <w:rFonts w:ascii="Arial" w:hAnsi="Arial" w:eastAsia="宋体"/>
      <w:b/>
      <w:lang w:val="en-GB" w:eastAsia="en-US" w:bidi="ar-SA"/>
    </w:rPr>
  </w:style>
  <w:style w:type="character" w:customStyle="1" w:styleId="141">
    <w:name w:val="正文文本 Char"/>
    <w:link w:val="28"/>
    <w:qFormat/>
    <w:uiPriority w:val="0"/>
    <w:rPr>
      <w:rFonts w:eastAsia="宋体"/>
      <w:szCs w:val="24"/>
      <w:lang w:val="en-US" w:eastAsia="en-US" w:bidi="ar-SA"/>
    </w:rPr>
  </w:style>
  <w:style w:type="paragraph" w:customStyle="1" w:styleId="142">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3">
    <w:name w:val="high-light-bg4"/>
    <w:basedOn w:val="46"/>
    <w:qFormat/>
    <w:uiPriority w:val="0"/>
  </w:style>
  <w:style w:type="character" w:customStyle="1" w:styleId="144">
    <w:name w:val="B1 Char"/>
    <w:qFormat/>
    <w:uiPriority w:val="0"/>
    <w:rPr>
      <w:rFonts w:eastAsia="宋体"/>
      <w:lang w:val="en-GB" w:eastAsia="ja-JP" w:bidi="ar-SA"/>
    </w:rPr>
  </w:style>
  <w:style w:type="character" w:customStyle="1" w:styleId="145">
    <w:name w:val="Proposal Char"/>
    <w:link w:val="130"/>
    <w:qFormat/>
    <w:uiPriority w:val="0"/>
    <w:rPr>
      <w:rFonts w:ascii="Arial" w:hAnsi="Arial"/>
      <w:b/>
      <w:bCs/>
      <w:lang w:val="en-GB"/>
    </w:rPr>
  </w:style>
  <w:style w:type="paragraph" w:customStyle="1" w:styleId="146">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7">
    <w:name w:val="edited2"/>
    <w:basedOn w:val="46"/>
    <w:qFormat/>
    <w:uiPriority w:val="0"/>
  </w:style>
  <w:style w:type="paragraph" w:customStyle="1" w:styleId="148">
    <w:name w:val="Guidance"/>
    <w:basedOn w:val="1"/>
    <w:qFormat/>
    <w:uiPriority w:val="0"/>
    <w:rPr>
      <w:rFonts w:eastAsia="MS LineDraw"/>
      <w:i/>
      <w:color w:val="0000FF"/>
    </w:rPr>
  </w:style>
  <w:style w:type="paragraph" w:customStyle="1" w:styleId="14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0">
    <w:name w:val="DocInfo"/>
    <w:basedOn w:val="1"/>
    <w:qFormat/>
    <w:uiPriority w:val="0"/>
    <w:pPr>
      <w:tabs>
        <w:tab w:val="left" w:pos="2160"/>
      </w:tabs>
      <w:spacing w:before="120" w:after="120"/>
    </w:pPr>
    <w:rPr>
      <w:sz w:val="28"/>
      <w:szCs w:val="28"/>
    </w:rPr>
  </w:style>
  <w:style w:type="paragraph" w:customStyle="1" w:styleId="151">
    <w:name w:val="B2"/>
    <w:basedOn w:val="1"/>
    <w:link w:val="152"/>
    <w:qFormat/>
    <w:uiPriority w:val="0"/>
    <w:pPr>
      <w:ind w:left="851" w:hanging="284"/>
    </w:pPr>
    <w:rPr>
      <w:rFonts w:eastAsia="Wingdings"/>
    </w:rPr>
  </w:style>
  <w:style w:type="character" w:customStyle="1" w:styleId="152">
    <w:name w:val="B2 Car"/>
    <w:link w:val="151"/>
    <w:qFormat/>
    <w:uiPriority w:val="0"/>
    <w:rPr>
      <w:rFonts w:eastAsia="Wingdings"/>
      <w:lang w:val="en-GB" w:eastAsia="en-US"/>
    </w:rPr>
  </w:style>
  <w:style w:type="character" w:customStyle="1" w:styleId="153">
    <w:name w:val="B3 Char"/>
    <w:qFormat/>
    <w:uiPriority w:val="0"/>
    <w:rPr>
      <w:lang w:val="en-GB" w:eastAsia="en-US"/>
    </w:rPr>
  </w:style>
  <w:style w:type="character" w:customStyle="1" w:styleId="154">
    <w:name w:val="B2 Char"/>
    <w:qFormat/>
    <w:uiPriority w:val="0"/>
    <w:rPr>
      <w:lang w:val="en-GB" w:eastAsia="en-US"/>
    </w:rPr>
  </w:style>
  <w:style w:type="character" w:customStyle="1" w:styleId="155">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6">
    <w:name w:val="TAH Car"/>
    <w:link w:val="53"/>
    <w:qFormat/>
    <w:locked/>
    <w:uiPriority w:val="0"/>
    <w:rPr>
      <w:rFonts w:ascii="Arial" w:hAnsi="Arial" w:eastAsia="宋体"/>
      <w:b/>
      <w:sz w:val="18"/>
      <w:lang w:val="en-GB" w:eastAsia="en-US"/>
    </w:rPr>
  </w:style>
  <w:style w:type="paragraph" w:customStyle="1" w:styleId="157">
    <w:name w:val="ComeBack"/>
    <w:basedOn w:val="123"/>
    <w:next w:val="123"/>
    <w:qFormat/>
    <w:uiPriority w:val="0"/>
    <w:pPr>
      <w:numPr>
        <w:ilvl w:val="0"/>
        <w:numId w:val="11"/>
      </w:numPr>
      <w:tabs>
        <w:tab w:val="clear" w:pos="1622"/>
      </w:tabs>
    </w:pPr>
    <w:rPr>
      <w:rFonts w:eastAsia="Times New Roman" w:cs="Arial"/>
    </w:rPr>
  </w:style>
  <w:style w:type="character" w:customStyle="1" w:styleId="158">
    <w:name w:val="TAC Char"/>
    <w:link w:val="54"/>
    <w:qFormat/>
    <w:locked/>
    <w:uiPriority w:val="0"/>
    <w:rPr>
      <w:rFonts w:ascii="Arial" w:hAnsi="Arial" w:eastAsia="宋体"/>
      <w:sz w:val="18"/>
      <w:lang w:val="en-GB" w:eastAsia="en-US"/>
    </w:rPr>
  </w:style>
  <w:style w:type="character" w:customStyle="1" w:styleId="159">
    <w:name w:val="CR Cover Page Zchn"/>
    <w:link w:val="89"/>
    <w:qFormat/>
    <w:uiPriority w:val="0"/>
    <w:rPr>
      <w:rFonts w:ascii="Arial" w:hAnsi="Arial"/>
      <w:lang w:val="en-GB" w:eastAsia="en-US"/>
    </w:rPr>
  </w:style>
  <w:style w:type="paragraph" w:customStyle="1" w:styleId="160">
    <w:name w:val="Agreement"/>
    <w:basedOn w:val="1"/>
    <w:next w:val="1"/>
    <w:qFormat/>
    <w:uiPriority w:val="0"/>
    <w:pPr>
      <w:numPr>
        <w:ilvl w:val="0"/>
        <w:numId w:val="12"/>
      </w:numPr>
      <w:spacing w:before="60" w:after="0"/>
    </w:pPr>
    <w:rPr>
      <w:rFonts w:ascii="Arial" w:hAnsi="Arial" w:eastAsia="MS Mincho"/>
      <w:b/>
      <w:szCs w:val="24"/>
      <w:lang w:eastAsia="en-GB"/>
    </w:rPr>
  </w:style>
  <w:style w:type="character" w:customStyle="1" w:styleId="161">
    <w:name w:val="题注 Char"/>
    <w:link w:val="24"/>
    <w:qFormat/>
    <w:uiPriority w:val="0"/>
    <w:rPr>
      <w:b/>
      <w:lang w:eastAsia="en-US"/>
    </w:rPr>
  </w:style>
  <w:style w:type="character" w:customStyle="1" w:styleId="162">
    <w:name w:val="op_dict3_font241"/>
    <w:basedOn w:val="46"/>
    <w:qFormat/>
    <w:uiPriority w:val="0"/>
    <w:rPr>
      <w:rFonts w:hint="default" w:ascii="Arial" w:hAnsi="Arial" w:cs="Arial"/>
      <w:sz w:val="17"/>
      <w:szCs w:val="17"/>
    </w:rPr>
  </w:style>
  <w:style w:type="character" w:customStyle="1" w:styleId="163">
    <w:name w:val="标题 3 Char"/>
    <w:link w:val="4"/>
    <w:qFormat/>
    <w:uiPriority w:val="0"/>
    <w:rPr>
      <w:rFonts w:ascii="Arial" w:hAnsi="Arial"/>
      <w:sz w:val="28"/>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C1551-9F1B-4E9D-B24F-6759A5C5C0D8}">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6</Pages>
  <Words>2007</Words>
  <Characters>11443</Characters>
  <Lines>95</Lines>
  <Paragraphs>26</Paragraphs>
  <TotalTime>0</TotalTime>
  <ScaleCrop>false</ScaleCrop>
  <LinksUpToDate>false</LinksUpToDate>
  <CharactersWithSpaces>13424</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2019-08-15T09:22:00Z</dcterms:created>
  <dc:creator>cmcc</dc:creator>
  <cp:lastModifiedBy>liwav_000</cp:lastModifiedBy>
  <cp:lastPrinted>2009-04-22T01:01:00Z</cp:lastPrinted>
  <dcterms:modified xsi:type="dcterms:W3CDTF">2019-08-15T16:35:24Z</dcterms:modified>
  <dc:title>3GPP TSG-RAN WG3</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2052-11.1.0.8894</vt:lpwstr>
  </property>
</Properties>
</file>